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.xml" ContentType="application/vnd.openxmlformats-officedocument.drawingml.chart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left"/>
        <w:keepLines/>
        <w:keepNext/>
        <w:spacing w:after="120" w:line="240" w:lineRule="auto"/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                                                                                      ОДОБРЕН</w:t>
      </w:r>
      <w:r/>
    </w:p>
    <w:p>
      <w:pPr>
        <w:ind w:firstLine="709"/>
        <w:jc w:val="right"/>
        <w:keepLines/>
        <w:keepNext/>
        <w:spacing w:after="120" w:line="240" w:lineRule="auto"/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постановлением Правительства</w:t>
      </w:r>
      <w:r/>
    </w:p>
    <w:p>
      <w:pPr>
        <w:ind w:firstLine="709"/>
        <w:jc w:val="center"/>
        <w:keepLines/>
        <w:keepNext/>
        <w:spacing w:after="120" w:line="240" w:lineRule="auto"/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                                                           Томской области</w:t>
      </w:r>
      <w:r/>
    </w:p>
    <w:p>
      <w:pPr>
        <w:ind w:firstLine="709"/>
        <w:jc w:val="center"/>
        <w:keepLines/>
        <w:keepNext/>
        <w:spacing w:after="120" w:line="240" w:lineRule="auto"/>
        <w:rPr>
          <w:rFonts w:ascii="PT Astra Serif" w:hAnsi="PT Astra Serif" w:eastAsiaTheme="majorEastAsia" w:cstheme="majorBidi"/>
          <w:b/>
          <w:bCs/>
          <w:color w:val="17365c" w:themeColor="text2" w:themeShade="BF"/>
          <w:sz w:val="26"/>
          <w:szCs w:val="26"/>
        </w:rPr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                                                                          от ___________ No ______</w:t>
      </w: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</w:r>
      <w:r>
        <w:rPr>
          <w:rFonts w:ascii="PT Astra Serif" w:hAnsi="PT Astra Serif" w:eastAsiaTheme="majorEastAsia" w:cstheme="majorBidi"/>
          <w:b/>
          <w:bCs/>
          <w:color w:val="17365c" w:themeColor="text2" w:themeShade="BF"/>
          <w:sz w:val="26"/>
          <w:szCs w:val="26"/>
        </w:rPr>
      </w:r>
    </w:p>
    <w:p>
      <w:pPr>
        <w:ind w:firstLine="0"/>
        <w:jc w:val="center"/>
        <w:keepLines/>
        <w:keepNext/>
        <w:spacing w:after="120" w:line="240" w:lineRule="auto"/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Прогноз</w:t>
      </w:r>
      <w:r/>
    </w:p>
    <w:p>
      <w:pPr>
        <w:ind w:firstLine="0"/>
        <w:jc w:val="center"/>
        <w:keepLines/>
        <w:keepNext/>
        <w:spacing w:after="120" w:line="240" w:lineRule="auto"/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социально-экономического развития Томской области на 2027 год</w:t>
      </w:r>
      <w:r/>
    </w:p>
    <w:p>
      <w:pPr>
        <w:ind w:firstLine="0"/>
        <w:jc w:val="center"/>
        <w:keepLines/>
        <w:keepNext/>
        <w:spacing w:after="120" w:line="240" w:lineRule="auto"/>
        <w:rPr>
          <w:rStyle w:val="1022"/>
          <w:rFonts w:ascii="PT Astra Serif" w:hAnsi="PT Astra Serif" w:eastAsiaTheme="majorEastAsia" w:cstheme="majorBidi"/>
          <w:color w:val="17365c" w:themeColor="text2" w:themeShade="BF"/>
          <w:sz w:val="26"/>
          <w:szCs w:val="26"/>
          <w:highlight w:val="none"/>
        </w:rPr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  <w:t xml:space="preserve">и на плановый период 2028 – 2029 годов</w:t>
      </w: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  <w:highlight w:val="none"/>
        </w:rPr>
      </w:r>
      <w:r>
        <w:rPr>
          <w:rStyle w:val="1022"/>
          <w:rFonts w:ascii="PT Astra Serif" w:hAnsi="PT Astra Serif" w:eastAsiaTheme="majorEastAsia" w:cstheme="majorBidi"/>
          <w:color w:val="17365c" w:themeColor="text2" w:themeShade="BF"/>
          <w:sz w:val="26"/>
          <w:szCs w:val="26"/>
          <w:highlight w:val="none"/>
        </w:rPr>
      </w:r>
    </w:p>
    <w:p>
      <w:pPr>
        <w:ind w:firstLine="709"/>
        <w:jc w:val="center"/>
        <w:keepLines/>
        <w:keepNext/>
        <w:spacing w:after="120" w:line="240" w:lineRule="auto"/>
        <w:rPr>
          <w:rStyle w:val="1022"/>
          <w:rFonts w:ascii="PT Astra Serif" w:hAnsi="PT Astra Serif" w:eastAsiaTheme="majorEastAsia" w:cstheme="majorBidi"/>
          <w:color w:val="17365c" w:themeColor="text2" w:themeShade="BF"/>
          <w:sz w:val="26"/>
          <w:szCs w:val="26"/>
          <w:highlight w:val="none"/>
        </w:rPr>
        <w:outlineLvl w:val="1"/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  <w:t xml:space="preserve">1.</w:t>
      </w:r>
      <w:r>
        <w:rPr>
          <w:rFonts w:ascii="PT Astra Serif" w:hAnsi="PT Astra Serif" w:eastAsia="Times New Roman" w:cs="Times New Roman"/>
          <w:sz w:val="26"/>
          <w:szCs w:val="26"/>
        </w:rPr>
        <w:t xml:space="preserve"> </w:t>
      </w: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  <w:t xml:space="preserve">Оценка достигнутого уровня социально-экономического </w:t>
      </w: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  <w:br/>
        <w:t xml:space="preserve">развития Томской области в 2025 году</w:t>
      </w:r>
      <w:r>
        <w:rPr>
          <w:rStyle w:val="1022"/>
          <w:rFonts w:ascii="PT Astra Serif" w:hAnsi="PT Astra Serif" w:eastAsiaTheme="majorEastAsia" w:cstheme="majorBidi"/>
          <w:color w:val="17365c" w:themeColor="text2" w:themeShade="BF"/>
          <w:sz w:val="26"/>
          <w:szCs w:val="26"/>
          <w:highlight w:val="none"/>
        </w:rPr>
      </w:r>
      <w:r>
        <w:rPr>
          <w:rStyle w:val="1022"/>
          <w:rFonts w:ascii="PT Astra Serif" w:hAnsi="PT Astra Serif" w:eastAsiaTheme="majorEastAsia" w:cstheme="majorBidi"/>
          <w:color w:val="17365c" w:themeColor="text2" w:themeShade="BF"/>
          <w:sz w:val="26"/>
          <w:szCs w:val="26"/>
          <w:highlight w:val="none"/>
        </w:rPr>
      </w:r>
    </w:p>
    <w:p>
      <w:pPr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фоне трудностей и вызовов, с которыми в 2025 году столкнулась Томская область, отмечается замедление экономического роста - </w:t>
      </w:r>
      <w:r>
        <w:rPr>
          <w:rFonts w:ascii="PT Astra Serif" w:hAnsi="PT Astra Serif"/>
          <w:sz w:val="26"/>
          <w:szCs w:val="26"/>
          <w:highlight w:val="white"/>
        </w:rPr>
        <w:t xml:space="preserve">санкционные</w:t>
      </w:r>
      <w:r>
        <w:rPr>
          <w:rFonts w:ascii="PT Astra Serif" w:hAnsi="PT Astra Serif"/>
          <w:sz w:val="26"/>
          <w:szCs w:val="26"/>
          <w:highlight w:val="white"/>
        </w:rPr>
        <w:t xml:space="preserve"> ограничения, высокая ключевая ставка продолжают негативно влиять на базовые отрасли экономики.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2025 год объем валового регионального продукта (ВРП) Томской области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текущих ценах оценивается с ростом 99,6% к 2024 году.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</w:t>
      </w:r>
      <w:r>
        <w:rPr>
          <w:rFonts w:ascii="PT Astra Serif" w:hAnsi="PT Astra Serif"/>
          <w:sz w:val="26"/>
          <w:szCs w:val="26"/>
          <w:highlight w:val="white"/>
        </w:rPr>
        <w:t xml:space="preserve">целом</w:t>
      </w:r>
      <w:r>
        <w:rPr>
          <w:rFonts w:ascii="PT Astra Serif" w:hAnsi="PT Astra Serif"/>
          <w:sz w:val="26"/>
          <w:szCs w:val="26"/>
          <w:highlight w:val="white"/>
        </w:rPr>
        <w:t xml:space="preserve">, можно отметить следующие отраслевые тенденции (к соответствующему периоду предыдущего года):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снижение индекса промышленного производства (ИПП 98,9%) в результате замедления темпов роста добычи полезных ископаемых (ИПП – 96,6%);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умеренный рост в обрабатывающем секторе (ИПП – 100,7%) благодаря стабильной ситуации в сферах пищевого производства (102,1%) электроники (101,9%), электрооборудования (125,7%), металлургии (109,1%), в производстве резины и пластмассы (104,6%);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рост сельскохозяйственного производства (104,5%) за счет наращивания производства животноводческой продукции (мясо – 100,2%, молоко – 102,6%);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спад в строительной отрасли (ИФО 96,1%), в том числе сокращение ввода жилья (темп роста 70,8%);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замедление темпов роста розничной торговли (101,2% в 2025 году против 114,3% в 2024 году).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Также в 2025 году: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с учетом роста денежных доходов населения доля населения с денежными доходами ниже границы бедности к общей численности населения снизилась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по сравнению с 2024 годом на 1,1 </w:t>
      </w:r>
      <w:r>
        <w:rPr>
          <w:rFonts w:ascii="PT Astra Serif" w:hAnsi="PT Astra Serif"/>
          <w:sz w:val="26"/>
          <w:szCs w:val="26"/>
          <w:highlight w:val="white"/>
        </w:rPr>
        <w:t xml:space="preserve">п.п</w:t>
      </w:r>
      <w:r>
        <w:rPr>
          <w:rFonts w:ascii="PT Astra Serif" w:hAnsi="PT Astra Serif"/>
          <w:sz w:val="26"/>
          <w:szCs w:val="26"/>
          <w:highlight w:val="white"/>
        </w:rPr>
        <w:t xml:space="preserve">. и составила 8,7%;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численность </w:t>
      </w:r>
      <w:r>
        <w:rPr>
          <w:rFonts w:ascii="PT Astra Serif" w:hAnsi="PT Astra Serif"/>
          <w:sz w:val="26"/>
          <w:szCs w:val="26"/>
          <w:highlight w:val="white"/>
        </w:rPr>
        <w:t xml:space="preserve">безработных, зарегистрированных в органах службы занятости населения по сравнению с 2024 годом не изменилась</w:t>
      </w:r>
      <w:r>
        <w:rPr>
          <w:rFonts w:ascii="PT Astra Serif" w:hAnsi="PT Astra Serif"/>
          <w:sz w:val="26"/>
          <w:szCs w:val="26"/>
          <w:highlight w:val="white"/>
        </w:rPr>
        <w:t xml:space="preserve"> - 2,8 тыс. человек, численность безработных по методологии МОТ осталась на уровне 2024 года - 17,4 тыс. человек;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реальная заработная плата составила 104,8% за счет роста номинальной начисленной заработной платы до 114,0% при уровне среднегодовой инфляции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108,8%;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реальные располагаемые денежные доходы населения составили 107,8%,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что также обусловлено ростом доходов населения, несмотря на высокий уровень инфляции.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Томская область по итогам 2025 года занимала лидирующие позиции среди субъектов СФО по следующим социально-экономическим показателям: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1 место: 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по среднему размеру назначенных пенсий (в РФ – 14 место);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отчислениям в бюджетную систему, приходящимся на одного жителя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(в РФ – 15 место);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производству молока к предыдущему году (в РФ – 20 место);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индексу цен производителей промышленных товаров (в РФ – 3 место).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2 место: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индексу потребительских цен на непродовольственные товары (в РФ – 8 место);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индексу цен на реализованную сельскохозяйственную продукцию (в РФ - 7 место);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производству зерновых и зернобобовых к предыдущему году (в РФ - 19 место);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производству скота и птицы на душу населения (в РФ – 20 место);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-по уровню официально зарегистрированной безработицы (в РФ - 59 место). 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3 место: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численности безработных (по РФ -53 место);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по индексу потребительских цен на товары и услуги (в РФ – 26 место).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Основные показатели прогноза социально-экономического развития Томской области на 2027 год и на плановый период 2028 – 2029 годов (далее – Прогноз) приведены в приложении № 1 к Прогнозу.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В целом основные показатели базовых видов экономической деятельности Томской области за прошедший период</w:t>
      </w:r>
      <w:r>
        <w:rPr>
          <w:rFonts w:ascii="PT Astra Serif" w:hAnsi="PT Astra Serif"/>
          <w:sz w:val="26"/>
          <w:szCs w:val="26"/>
          <w:highlight w:val="white"/>
        </w:rPr>
        <w:t xml:space="preserve"> 2020 – 2025 годов характеризовались разноплановой динамикой, что соответствует и российским трендам (основные показатели социально-экономического развития Томской области в сравнении с Российской Федерацией за 2020 – 2025 годы (приложение № 2 к Прогнозу).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2025 год</w:t>
      </w:r>
      <w:r>
        <w:rPr>
          <w:rFonts w:ascii="PT Astra Serif" w:hAnsi="PT Astra Serif"/>
          <w:sz w:val="26"/>
          <w:szCs w:val="26"/>
          <w:highlight w:val="white"/>
        </w:rPr>
        <w:t xml:space="preserve">у на территории Томской области продолжилась реализация крупных инвестиционных проектов: строительство опытно-демонстрационного энергоблока с реактором на быстрых нейтронах «БРЕСТ-ОД-300», строительство жилых микрорайонов («Южные ворота», «Левобережный», «</w:t>
      </w:r>
      <w:r>
        <w:rPr>
          <w:rFonts w:ascii="PT Astra Serif" w:hAnsi="PT Astra Serif"/>
          <w:sz w:val="26"/>
          <w:szCs w:val="26"/>
          <w:highlight w:val="white"/>
        </w:rPr>
        <w:t xml:space="preserve">ЛетоПарк</w:t>
      </w:r>
      <w:r>
        <w:rPr>
          <w:rFonts w:ascii="PT Astra Serif" w:hAnsi="PT Astra Serif"/>
          <w:sz w:val="26"/>
          <w:szCs w:val="26"/>
          <w:highlight w:val="white"/>
        </w:rPr>
        <w:t xml:space="preserve">»), строительство автомобильной дороги Малое транспортное кольцо г. Томска на участке </w:t>
      </w:r>
      <w:r>
        <w:rPr>
          <w:rFonts w:ascii="PT Astra Serif" w:hAnsi="PT Astra Serif"/>
          <w:sz w:val="26"/>
          <w:szCs w:val="26"/>
          <w:highlight w:val="white"/>
        </w:rPr>
        <w:t xml:space="preserve">км</w:t>
      </w:r>
      <w:r>
        <w:rPr>
          <w:rFonts w:ascii="PT Astra Serif" w:hAnsi="PT Astra Serif"/>
          <w:sz w:val="26"/>
          <w:szCs w:val="26"/>
          <w:highlight w:val="white"/>
        </w:rPr>
        <w:t xml:space="preserve"> 0 – км 5.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2. Оценка факторов и ограничений социально-экономического развития Томской области на 2027 год и плановый период 2028 – 2029 годов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Факторы и ограничения социально-экономического развития Томской области: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1. Качественное ухудшение сырьевой базы</w:t>
      </w:r>
      <w:r>
        <w:rPr>
          <w:rFonts w:ascii="PT Astra Serif" w:hAnsi="PT Astra Serif"/>
          <w:sz w:val="26"/>
          <w:szCs w:val="26"/>
          <w:highlight w:val="white"/>
        </w:rPr>
        <w:t xml:space="preserve"> на фоне введения квот в рамках решений ОПЕК.</w:t>
      </w: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Большая часть освоенных месторождений Томской области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имеет высокую </w:t>
      </w:r>
      <w:r>
        <w:rPr>
          <w:rFonts w:ascii="PT Astra Serif" w:hAnsi="PT Astra Serif"/>
          <w:sz w:val="26"/>
          <w:szCs w:val="26"/>
          <w:highlight w:val="white"/>
        </w:rPr>
        <w:t xml:space="preserve">выработанность</w:t>
      </w:r>
      <w:r>
        <w:rPr>
          <w:rFonts w:ascii="PT Astra Serif" w:hAnsi="PT Astra Serif"/>
          <w:sz w:val="26"/>
          <w:szCs w:val="26"/>
          <w:highlight w:val="white"/>
        </w:rPr>
        <w:t xml:space="preserve">, другая часть, потенциально-продуктивных месторождений содержит </w:t>
      </w:r>
      <w:r>
        <w:rPr>
          <w:rFonts w:ascii="PT Astra Serif" w:hAnsi="PT Astra Serif"/>
          <w:sz w:val="26"/>
          <w:szCs w:val="26"/>
          <w:highlight w:val="white"/>
        </w:rPr>
        <w:t xml:space="preserve">трудноизвлекаемые</w:t>
      </w:r>
      <w:r>
        <w:rPr>
          <w:rFonts w:ascii="PT Astra Serif" w:hAnsi="PT Astra Serif"/>
          <w:sz w:val="26"/>
          <w:szCs w:val="26"/>
          <w:highlight w:val="white"/>
        </w:rPr>
        <w:t xml:space="preserve"> нерентабельные запасы. При этом доля </w:t>
      </w:r>
      <w:r>
        <w:rPr>
          <w:rFonts w:ascii="PT Astra Serif" w:hAnsi="PT Astra Serif"/>
          <w:sz w:val="26"/>
          <w:szCs w:val="26"/>
          <w:highlight w:val="white"/>
        </w:rPr>
        <w:t xml:space="preserve">трудноизвлекаемых</w:t>
      </w:r>
      <w:r>
        <w:rPr>
          <w:rFonts w:ascii="PT Astra Serif" w:hAnsi="PT Astra Serif"/>
          <w:sz w:val="26"/>
          <w:szCs w:val="26"/>
          <w:highlight w:val="white"/>
        </w:rPr>
        <w:t xml:space="preserve"> запасов составляет более 55% и продолжает расти.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bCs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Снижение объемов добычи нефти не только негативно влияет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на финансовую устойчивость нефтяной отрасли в регионе, но и приводит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к сокращению ряда сопутствующих смежных отраслей. Данные процессы, в свою </w:t>
      </w:r>
      <w:r>
        <w:rPr>
          <w:rFonts w:ascii="PT Astra Serif" w:hAnsi="PT Astra Serif"/>
          <w:sz w:val="26"/>
          <w:szCs w:val="26"/>
          <w:highlight w:val="white"/>
        </w:rPr>
        <w:t xml:space="preserve">очередь, замедляют социально-экономическое развитие региона и сокращают объемы налоговых поступлений в бюджеты всех уровней.</w:t>
      </w:r>
      <w:r>
        <w:rPr>
          <w:rFonts w:ascii="PT Astra Serif" w:hAnsi="PT Astra Serif"/>
          <w:bCs/>
          <w:szCs w:val="26"/>
          <w:highlight w:val="white"/>
        </w:rPr>
      </w:r>
      <w:r>
        <w:rPr>
          <w:rFonts w:ascii="PT Astra Serif" w:hAnsi="PT Astra Serif"/>
          <w:bCs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2. Недостаточная развитость транспортной инфраструктуры. Географическая удаленность Томской обла</w:t>
      </w: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сти и неразвитость транспортной инфраструктуры накладывает ограничения на развитие секторов экономики, для которых транспортные издержки являются критичными. Область значительно уступает другим регионам по плотности автомобильных дорог с твердым покрытием.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3. Несовершенство распределения доходных источников между отдельными субъектами Российской Федерации и Российской Федерацией.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Томск</w:t>
      </w:r>
      <w:r>
        <w:rPr>
          <w:rFonts w:ascii="PT Astra Serif" w:hAnsi="PT Astra Serif"/>
          <w:sz w:val="26"/>
          <w:szCs w:val="26"/>
          <w:highlight w:val="white"/>
        </w:rPr>
        <w:t xml:space="preserve">ая область ежегодно перечисляет в федеральный бюджет около 74% налогов (в 2025 году - 269,4 млрд. рублей), при этом имеет высокую долговую нагрузку по итогам 2025 года - 77,2% и бюджетную обеспеченность ниже среднероссийского уровня (на 2025 год – 0,753). 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протяжении ряда лет фиксируется неисполнение «майских» указов Президента Российской Федерации по уровню заработной платы отдельных категорий работников бюджетной сферы из-за отсутствия необходимых средств в областном бюджете. 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Сдерживание роста заработной платы в </w:t>
      </w:r>
      <w:r>
        <w:rPr>
          <w:rFonts w:ascii="PT Astra Serif" w:hAnsi="PT Astra Serif"/>
          <w:sz w:val="26"/>
          <w:szCs w:val="26"/>
          <w:highlight w:val="white"/>
        </w:rPr>
        <w:t xml:space="preserve">бюджетном секторе тормозит рост заработной платы в реальном секторе экономики, что в совокупности с низкими темпами роста реальной заработной платы препятствует сохранению в регионе талантливой молодежи, выпускников томских вузов, квалифицированных кадров.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 Высокие ставки железнодорожного тарифа на транзит экспортной продукции по терри</w:t>
      </w:r>
      <w:r>
        <w:rPr>
          <w:rFonts w:ascii="PT Astra Serif" w:hAnsi="PT Astra Serif"/>
          <w:sz w:val="26"/>
          <w:szCs w:val="26"/>
          <w:highlight w:val="white"/>
        </w:rPr>
        <w:t xml:space="preserve">тории Республики Казахстан. Одним из приоритетных рынков сбыта для экспортеров являются страны Центральной Азии и прежде всего Республика Узбекистан. Однако высокие транспортные расходы делают поставки продукции в особенности продукции АПК нерентабельными.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5. Недостаточный объем бюджетных ассигнований федерального бюджета для компенсации затрат на транспортировку промышленной продукции и продукции АПК на экспорт.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6.</w:t>
      </w:r>
      <w:r>
        <w:rPr>
          <w:rFonts w:ascii="PT Astra Serif" w:hAnsi="PT Astra Serif"/>
          <w:sz w:val="26"/>
          <w:szCs w:val="26"/>
          <w:highlight w:val="white"/>
        </w:rPr>
        <w:t xml:space="preserve"> Высокая ключевая ставка Центрального банка Российской Федерации </w:t>
      </w:r>
      <w:r>
        <w:rPr>
          <w:rFonts w:ascii="PT Astra Serif" w:hAnsi="PT Astra Serif"/>
          <w:sz w:val="26"/>
          <w:szCs w:val="26"/>
          <w:highlight w:val="white"/>
          <w:lang w:eastAsia="ja-JP"/>
        </w:rPr>
        <w:t xml:space="preserve">несет риски для бизнеса в виде замедления роста или увеличения долговой нагрузки и, как следствие, банкротства.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7. Проблемы развития сельского хозяйства, находящегося в зоне рискованного земледелия. Нехватка оборотных и финансовых сре</w:t>
      </w:r>
      <w:r>
        <w:rPr>
          <w:rFonts w:ascii="PT Astra Serif" w:hAnsi="PT Astra Serif"/>
          <w:sz w:val="26"/>
          <w:szCs w:val="26"/>
          <w:highlight w:val="white"/>
        </w:rPr>
        <w:t xml:space="preserve">дств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дл</w:t>
      </w:r>
      <w:r>
        <w:rPr>
          <w:rFonts w:ascii="PT Astra Serif" w:hAnsi="PT Astra Serif"/>
          <w:sz w:val="26"/>
          <w:szCs w:val="26"/>
          <w:highlight w:val="white"/>
        </w:rPr>
        <w:t xml:space="preserve">я обновления основных фондов и проведения технологической модернизации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сельскохозяйственных организациях.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Существенное положительное влияние на с</w:t>
      </w:r>
      <w:r>
        <w:rPr>
          <w:rFonts w:ascii="PT Astra Serif" w:hAnsi="PT Astra Serif"/>
          <w:sz w:val="26"/>
          <w:szCs w:val="26"/>
          <w:highlight w:val="white"/>
        </w:rPr>
        <w:t xml:space="preserve">оциально-экономическое развитие Томской области окажут крупные инвестиционные проекты, в том числе инвестиционные проекты, реализуемые на территории Томской области в 2026 году и запланированные к реализации в 2027 – 2029 годах (приложение № 3 к Прогнозу).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shd w:val="clear" w:color="ffffff" w:themeColor="background1" w:fill="ffffff" w:themeFill="background1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Сценарные условия развития Российской Федерации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Письмом от 15.05.2026 № 17689-СС/Д14и Минэкономразвития России доведены сценарные условия функционирования экономики Российской Федерации и основные параметры прогноза социальн</w:t>
      </w:r>
      <w:r>
        <w:rPr>
          <w:rFonts w:ascii="PT Astra Serif" w:hAnsi="PT Astra Serif"/>
          <w:sz w:val="26"/>
          <w:szCs w:val="26"/>
          <w:highlight w:val="white"/>
        </w:rPr>
        <w:t xml:space="preserve">о-экономического развития Российской Федерации и прогнозируемые изменения цен (тарифов) на товары, услуги хозяйствующих субъектов, осуществляющих регулируемые виды деятельности в инфраструктурном секторе на 2027 год и на плановый период 2028 и 2029 годов.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итогам 2026 года в результате сложившихся тенденций развития в базовом варианте предполагается рост ВВП на 0,4% в реальном выражении относительно уровня 2025 года. Номинальный объем ВВП возрастет за год на 13,7 </w:t>
      </w:r>
      <w:r>
        <w:rPr>
          <w:rFonts w:ascii="PT Astra Serif" w:hAnsi="PT Astra Serif"/>
          <w:sz w:val="26"/>
          <w:szCs w:val="26"/>
          <w:highlight w:val="white"/>
        </w:rPr>
        <w:t xml:space="preserve">трлн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и составит 228 трлн рублей.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Торговый баланс в 2026 году оценивается на уровне 133,6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долл. США, что больше, чем годом ранее, на 16,5 млрд долл. США, в основном за счет роста нефтегазового экспорта. Курс рубля укрепится и составит в среднем за 2026 год 81,5 рублей за долл. США (83,4 рублей за долл. США в 2025 году).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Инфляция продолжит замедляться и к концу 2026 года составит 5,2% (декабрь 2026 к декабрю 2025 года).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 учетом зафиксированного в начале года замедления роста потребительской активности суммарный оборот розни</w:t>
      </w:r>
      <w:r>
        <w:rPr>
          <w:rFonts w:ascii="PT Astra Serif" w:hAnsi="PT Astra Serif"/>
          <w:sz w:val="26"/>
          <w:szCs w:val="26"/>
          <w:highlight w:val="white"/>
        </w:rPr>
        <w:t xml:space="preserve">чной торговли, общественного питания и платных услуг населению в 2026 году увеличится на 1,2% (в 2025 году – на 4,0%), в том числе оборот розничной торговли – на 0,8% (в 2025 году – на 4,1%), объем платных услуг населению – на 1,7% (годом ранее – на 2,8%)</w:t>
      </w:r>
      <w:r>
        <w:rPr>
          <w:rFonts w:ascii="PT Astra Serif" w:hAnsi="PT Astra Serif"/>
          <w:sz w:val="26"/>
          <w:szCs w:val="26"/>
          <w:highlight w:val="white"/>
        </w:rPr>
        <w:t xml:space="preserve">.</w:t>
      </w:r>
      <w:r>
        <w:rPr>
          <w:rFonts w:ascii="PT Astra Serif" w:hAnsi="PT Astra Serif"/>
          <w:sz w:val="26"/>
          <w:szCs w:val="26"/>
          <w:highlight w:val="white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Замедление прироста потребител</w:t>
      </w:r>
      <w:r>
        <w:rPr>
          <w:rFonts w:ascii="PT Astra Serif" w:hAnsi="PT Astra Serif"/>
          <w:sz w:val="26"/>
          <w:szCs w:val="26"/>
          <w:highlight w:val="white"/>
        </w:rPr>
        <w:t xml:space="preserve">ьского спроса будет происходить на фоне замедления роста реальных располагаемых денежных доходов населения – прирост за 2026 год составит 0,8%. Одновременно с этим поддержку росту потребительской активности будут оказывать накопленные сбережения населения </w:t>
      </w:r>
      <w:r>
        <w:rPr>
          <w:rFonts w:ascii="PT Astra Serif" w:hAnsi="PT Astra Serif"/>
          <w:sz w:val="26"/>
          <w:szCs w:val="26"/>
          <w:highlight w:val="white"/>
        </w:rPr>
        <w:t xml:space="preserve">(норма сбережения при этом сократится в 2026 году до 14,3%).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промышленного производства увеличится на 0,6%, в том числе обрабатывающей промышленности – на 1,</w:t>
      </w:r>
      <w:r>
        <w:rPr>
          <w:rFonts w:ascii="PT Astra Serif" w:hAnsi="PT Astra Serif"/>
          <w:sz w:val="26"/>
          <w:szCs w:val="26"/>
          <w:highlight w:val="white"/>
        </w:rPr>
        <w:t xml:space="preserve">0%. Однако при этом продолжится сокращение инвестиционной активности (на 1,5%) в условиях сохранения относительно дорогих заемных средств и сокращения прибыли организаций (сальдированный финансовый результат в 2025 году сократился на 3,9% после сокращения </w:t>
      </w:r>
      <w:r>
        <w:rPr>
          <w:rFonts w:ascii="PT Astra Serif" w:hAnsi="PT Astra Serif"/>
          <w:sz w:val="26"/>
          <w:szCs w:val="26"/>
          <w:highlight w:val="white"/>
        </w:rPr>
        <w:t xml:space="preserve">на</w:t>
      </w:r>
      <w:r>
        <w:rPr>
          <w:rFonts w:ascii="PT Astra Serif" w:hAnsi="PT Astra Serif"/>
          <w:sz w:val="26"/>
          <w:szCs w:val="26"/>
          <w:highlight w:val="white"/>
        </w:rPr>
        <w:t xml:space="preserve"> 6,9% годом ранее).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фоне структурных изменений в экономике и оптимизации издержек производителей уровень безработицы в 2026 году отойдет от исторических минимумов и составит до 2,4% от рабочей силы.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среднесрочной перспективе в базовом варианте рост экономики будет ускоряться от 1,4% в 2027 году до 2,4% в 2029 году. В номинальном выражении к концу прогнозного периода объем ВВП превысит 270 </w:t>
      </w:r>
      <w:r>
        <w:rPr>
          <w:rFonts w:ascii="PT Astra Serif" w:hAnsi="PT Astra Serif"/>
          <w:sz w:val="26"/>
          <w:szCs w:val="26"/>
          <w:highlight w:val="white"/>
        </w:rPr>
        <w:t xml:space="preserve">трлн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При этом в 2027 году ожидается сокращение мировых цен на топливн</w:t>
      </w:r>
      <w:r>
        <w:rPr>
          <w:rFonts w:ascii="PT Astra Serif" w:hAnsi="PT Astra Serif"/>
          <w:sz w:val="26"/>
          <w:szCs w:val="26"/>
          <w:highlight w:val="white"/>
        </w:rPr>
        <w:t xml:space="preserve">о-</w:t>
      </w:r>
      <w:r>
        <w:rPr>
          <w:rFonts w:ascii="PT Astra Serif" w:hAnsi="PT Astra Serif"/>
          <w:sz w:val="26"/>
          <w:szCs w:val="26"/>
          <w:highlight w:val="white"/>
        </w:rPr>
        <w:t xml:space="preserve"> энергетические товары. В этих условиях российский экспорт товаров снизится на 17,5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долл. США до 424,7 млрд долл. США в основном за счет нефтегазового экспорта. К 2029 году объем экспорта товаров увеличится до 464,4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долл. США. Доля </w:t>
      </w:r>
      <w:r>
        <w:rPr>
          <w:rFonts w:ascii="PT Astra Serif" w:hAnsi="PT Astra Serif"/>
          <w:sz w:val="26"/>
          <w:szCs w:val="26"/>
          <w:highlight w:val="white"/>
        </w:rPr>
        <w:t xml:space="preserve">ненефтегазового</w:t>
      </w:r>
      <w:r>
        <w:rPr>
          <w:rFonts w:ascii="PT Astra Serif" w:hAnsi="PT Astra Serif"/>
          <w:sz w:val="26"/>
          <w:szCs w:val="26"/>
          <w:highlight w:val="white"/>
        </w:rPr>
        <w:t xml:space="preserve"> экспорта возрастет до 56,3% в 2029 году (в 2026 году – 50,2%).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Импорт товаров в 2027 году возрастет на 13,5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долл. США до 322 млрд долларов, к 2029 году объем импорта, по оценкам, увеличится до 353 млрд долл. США. В результате, торговый баланс в 2027 году составит 102,6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долл. США с дальнейшим увеличением до 111,1 млрд долл. США в 2029 году.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Курс рубля будет ослабевать: до 87,4 рублей за долл. США в среднем за 2027 год и 96,0 рублей за долл. США в среднем за 2029 год.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Индекс потребительских цен будет расти на 4,0% в год в соответствии с </w:t>
      </w:r>
      <w:r>
        <w:rPr>
          <w:rFonts w:ascii="PT Astra Serif" w:hAnsi="PT Astra Serif"/>
          <w:sz w:val="26"/>
          <w:szCs w:val="26"/>
          <w:highlight w:val="white"/>
        </w:rPr>
        <w:t xml:space="preserve">таргетом</w:t>
      </w:r>
      <w:r>
        <w:rPr>
          <w:rFonts w:ascii="PT Astra Serif" w:hAnsi="PT Astra Serif"/>
          <w:sz w:val="26"/>
          <w:szCs w:val="26"/>
          <w:highlight w:val="white"/>
        </w:rPr>
        <w:t xml:space="preserve"> Банка России.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мере смягчения денежно-кред</w:t>
      </w:r>
      <w:r>
        <w:rPr>
          <w:rFonts w:ascii="PT Astra Serif" w:hAnsi="PT Astra Serif"/>
          <w:sz w:val="26"/>
          <w:szCs w:val="26"/>
          <w:highlight w:val="white"/>
        </w:rPr>
        <w:t xml:space="preserve">итных условий рост инвестиций в основной капитал возобновится в 2027 году (прирост составит 2,0%). Сокращение 2025-2026 годов будет скомпенсировано по итогам 2028 года. Накопленный прирост за 2027-2029 годы оценивается на уровне 7,7% в реальном выражении.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промышленного производства будет расти на 2,1% – 2,5% в год.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Уровень безработицы стабилизируется на уровне 2,3% рабочей силы.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Рост потребительской активности ускорится. Так, прирост суммарного оборота розничной торговли, платных услуг населению и общественного питания возрастет с 2,4% в 2027 году до 3,1% в 2029 году, в том числе оборот розничной торговли в 2027 году увеличится на</w:t>
      </w:r>
      <w:r>
        <w:rPr>
          <w:rFonts w:ascii="PT Astra Serif" w:hAnsi="PT Astra Serif"/>
          <w:sz w:val="26"/>
          <w:szCs w:val="26"/>
          <w:highlight w:val="white"/>
        </w:rPr>
        <w:t xml:space="preserve">2</w:t>
      </w:r>
      <w:r>
        <w:rPr>
          <w:rFonts w:ascii="PT Astra Serif" w:hAnsi="PT Astra Serif"/>
          <w:sz w:val="26"/>
          <w:szCs w:val="26"/>
          <w:highlight w:val="white"/>
        </w:rPr>
        <w:t xml:space="preserve">,3 %, в 2029 году –</w:t>
      </w:r>
      <w:r>
        <w:rPr>
          <w:rFonts w:ascii="PT Astra Serif" w:hAnsi="PT Astra Serif"/>
          <w:sz w:val="26"/>
          <w:szCs w:val="26"/>
          <w:highlight w:val="white"/>
        </w:rPr>
        <w:t xml:space="preserve"> на 3,1%. Рост потребительской активности прогнозируется на фоне снижения средней склонности населения к сбережениям (до 11,4% к 2029 году), а также ускорения роста реальных располагаемых денежных доходов населения (с 2,1% в 2027 году до 2,7% в 2029 году).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При прогнози</w:t>
      </w:r>
      <w:r>
        <w:rPr>
          <w:rFonts w:ascii="PT Astra Serif" w:hAnsi="PT Astra Serif"/>
          <w:sz w:val="26"/>
          <w:szCs w:val="26"/>
          <w:highlight w:val="white"/>
        </w:rPr>
        <w:t xml:space="preserve">ровании макроэкономических индикаторов социально-экономического развития Томской области на период 2027 – 2029 годов использованы показатели прогноза социально-экономического развития Российской Федерации на 2026 год и на плановый период 2027 и 2028 годов.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Исходя из указанных сценариев основными направлениями социально-экономического развития Томской области на среднесрочную перспективу станут</w:t>
      </w:r>
      <w:r>
        <w:rPr>
          <w:rFonts w:ascii="PT Astra Serif" w:hAnsi="PT Astra Serif"/>
          <w:sz w:val="26"/>
          <w:szCs w:val="26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приоритеты развития, определенные Указом № 309 и Указом № 529;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мероприятий Единого плана по достижению национальных целей;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Стратегии Томской области;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действующих национальных проектов на территории Томской области;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Стратегии пространственного развития России до 2030 года;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активная реализация кластерной политики инвестиционного и промышленного развития;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государственной программы научно-технологического развития Томской области;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расширение перечня дорожных карт с государственными корпорациями и крупными стратегическими российскими компаниями;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проектов и мероприятий, включенных в план реализации Стратегии Сибири;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</w:t>
      </w:r>
      <w:r>
        <w:rPr>
          <w:rFonts w:ascii="PT Astra Serif" w:hAnsi="PT Astra Serif"/>
          <w:sz w:val="26"/>
          <w:szCs w:val="26"/>
          <w:highlight w:val="white"/>
        </w:rPr>
        <w:t xml:space="preserve">Плана мероприятий Стратегии развития беспилотной авиации Российской Федерации</w:t>
      </w:r>
      <w:r>
        <w:rPr>
          <w:rFonts w:ascii="PT Astra Serif" w:hAnsi="PT Astra Serif"/>
          <w:sz w:val="26"/>
          <w:szCs w:val="26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Основным механизмом реализации данных направлений будет выполнение мероприятий государственных программ Томской области (информация о реализации национальных проектов на территории Томской области и основные параметры </w:t>
      </w:r>
      <w:r>
        <w:rPr>
          <w:rFonts w:ascii="PT Astra Serif" w:hAnsi="PT Astra Serif"/>
          <w:sz w:val="26"/>
          <w:szCs w:val="26"/>
          <w:highlight w:val="white"/>
        </w:rPr>
        <w:t xml:space="preserve">государственных программ Томской области на 2027 – 2029 годы приведены в приложениях №№ 4 и 5 к Прогнозу соответственно).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3. Характеристика параметров прогноза социально-экономического развития Томской области на 2027 год и на плановый период 2028 – 2029 годов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Прогноз разработан в соответствии с действующей нормативной правовой базой: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Бюджетным кодексом Российской Федерации;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Федеральным законом от 28 июня 2014 года № 172-ФЗ «О стратегическом планировании в Российской Федерации»;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Законом Томской области от 12 марта 2015 года № 24-ОЗ «О стратегическом планировании в Томской области»;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постановлением Администрации Томской области от 05.05.2016 № 155а «Об утверждении Порядка разработки и корректировки прогноза социально-экономического развития Томской области на среднесрочный период».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Прогноз разработан с учетом: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тенденций социально-экономического развития России и Томской области;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реализации  инвестиционных  проектов Томской области.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Информационная база формирования Прогноза: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данные статистического учета за 2024 – 2025 годы и имеющиеся оперативные данные за 2026 год;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прогнозные расчеты исполнительных органов Томской области в разрезе курируемых видов экономической деятельности.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Прогноз разработан в составе трех основных вариантов развития: консервативного, базового и целевого.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Консервативный вариант среднесрочного прогноза основан на предпосылках ухудшения внешнеэкономических условий и более сдержанном восстановлении внутреннего спроса.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базовый вариант заложена </w:t>
      </w:r>
      <w:r>
        <w:rPr>
          <w:rFonts w:ascii="PT Astra Serif" w:hAnsi="PT Astra Serif"/>
          <w:sz w:val="26"/>
          <w:szCs w:val="26"/>
          <w:highlight w:val="white"/>
        </w:rPr>
        <w:t xml:space="preserve">проактивная</w:t>
      </w:r>
      <w:r>
        <w:rPr>
          <w:rFonts w:ascii="PT Astra Serif" w:hAnsi="PT Astra Serif"/>
          <w:sz w:val="26"/>
          <w:szCs w:val="26"/>
          <w:highlight w:val="white"/>
        </w:rPr>
        <w:t xml:space="preserve"> экономическая политика, в частности, предполагается: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инвестиционных проектов, в том числе с участием бюджетных средств;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эффективная реализация мер по поддержке экономики;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стабилизация макроэкономической ситуации.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Базовый вариант описывает наиболее вероятный сценарий развития экономики Томской области с учетом ожидаемых положительных изменений внешних условий.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Целевой вариант характеризуется форсированными темпами роста экономики Томской области. Прогноз основан на достижении целевых показателей социально-</w:t>
      </w:r>
      <w:r>
        <w:rPr>
          <w:rFonts w:ascii="PT Astra Serif" w:hAnsi="PT Astra Serif"/>
          <w:sz w:val="26"/>
          <w:szCs w:val="26"/>
          <w:highlight w:val="white"/>
        </w:rPr>
        <w:t xml:space="preserve">экономического развития, учитывающих в полном объеме достижение целей и задач стратегического планирования. 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Базовый вариант Прогноза принимается за основу при расчете доходов областного бюджета.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целом в среднесрочной перспективе на 2027 – 2029 годы прогнозируется развитие экономики с позитивной динамикой основных показателей социально-экономического развит</w:t>
      </w:r>
      <w:r>
        <w:rPr>
          <w:rFonts w:ascii="PT Astra Serif" w:hAnsi="PT Astra Serif"/>
          <w:sz w:val="26"/>
          <w:szCs w:val="26"/>
          <w:highlight w:val="white"/>
        </w:rPr>
        <w:t xml:space="preserve">ия Томской области, что соответствует общероссийским трендам (основные показатели Прогноза социально-экономического развития Томской области на 2027 год и на плановый период 2028 – 2029 годов в сравнении с Российской Федерацией (приложение № 6 к Прогнозу).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 Прогноз социально-экономического развития Томской области на 2027 год и на плановый период 2028 – 2029 годов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4.1. Валовой региональный продукт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валового регионального продукта (ВРП) Томской области в 2024 году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основных ценах составил 1 096,8 млрд. рублей (0,6% суммарного объе</w:t>
      </w:r>
      <w:r>
        <w:rPr>
          <w:rFonts w:ascii="PT Astra Serif" w:hAnsi="PT Astra Serif"/>
          <w:sz w:val="26"/>
          <w:szCs w:val="26"/>
          <w:highlight w:val="white"/>
        </w:rPr>
        <w:t xml:space="preserve">ма ВРП регионов России и 6,7% суммарного объема ВРП регионов Сибирского федерального округа). Реальный объем ВРП (ИФО) к  2023 г. достиг уровня 103,9%, что выше среднего значения по СФО (102,9%), но меньше показателя по РФ (104,5% - из суммы ВРП регионов).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Основную долю в структуре ВРП продолжает занимать промышленность (36%), в основном «Добыча полезных ископаемых»  (24,1%), а также «Обрабатывающие производства» (10,7%).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стабильную динамику ВРП региона по итогам 2024 года  оказало влияние устойчивое развитие таких видов деятельности, как: «Т</w:t>
      </w:r>
      <w:r>
        <w:rPr>
          <w:rFonts w:ascii="PT Astra Serif" w:hAnsi="PT Astra Serif"/>
          <w:sz w:val="26"/>
          <w:szCs w:val="26"/>
          <w:highlight w:val="white"/>
        </w:rPr>
        <w:t xml:space="preserve">ранспортировка и хранение» (128,8%), «Деятельность финансовая и страховая» (120,4%), «Деятельность профессиональная научная и техническая» (116,9%), «Строительство» (114,1%), «Обрабатывающие производства» (108,9%) и «Оптовая и розничная торговля» (103,5%).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У значительной доли видов экономической деятельности в 2024 году происходило снижение реальной добавленной стоимости, в том числе по добыче полезных ископаемых ИФО составил лишь 94,3%. В последние годы это связано с высокой степенью </w:t>
      </w:r>
      <w:r>
        <w:rPr>
          <w:rFonts w:ascii="PT Astra Serif" w:hAnsi="PT Astra Serif"/>
          <w:sz w:val="26"/>
          <w:szCs w:val="26"/>
          <w:highlight w:val="white"/>
        </w:rPr>
        <w:t xml:space="preserve">выработанности</w:t>
      </w:r>
      <w:r>
        <w:rPr>
          <w:rFonts w:ascii="PT Astra Serif" w:hAnsi="PT Astra Serif"/>
          <w:sz w:val="26"/>
          <w:szCs w:val="26"/>
          <w:highlight w:val="white"/>
        </w:rPr>
        <w:t xml:space="preserve"> запасов из традиционных залежей, а также с добровольным снижением добычи нефти в рамках сделки ОПЕК+. Снижение ВДС также отмечено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сфере водоснабжения;</w:t>
      </w:r>
      <w:r>
        <w:rPr>
          <w:rFonts w:ascii="PT Astra Serif" w:hAnsi="PT Astra Serif"/>
          <w:sz w:val="26"/>
          <w:szCs w:val="26"/>
          <w:highlight w:val="white"/>
        </w:rPr>
        <w:t xml:space="preserve"> водоотведения, организации сбора и утилизации отходов, деятельности по ликвидации загрязнений (88,7%) и в сфере представления прочих видов услуг (74,2%).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По показателю «ВРП на душу населения» Томская область со значением 1053,1 тыс. рублей заняла 3-е место в рейтинге регионов СФО после Красноярского края и Иркутской области, по России – 25 место (в 2023 году было 29 место).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По оценке ИФО ВРП Томской области  в 2025 году составил  99,6%, что обусловлено, в основном, сокращением промышленного производства (ИПП 98,9%)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br/>
        <w:t xml:space="preserve">и строительства (ИФО 96,1%).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По итогам 2026 года  ВРП Томской области оценивается в текущих ценах на уровне 1 192,6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млрд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 руб. с ИФО  101,1%.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На уровень ВРП в 2026 году окажут влияние следующие факторы: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- увеличение объемов обрабатывающих произво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дств в сф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ере пищевого производства, производства напитков, деревообработки, металлургического производства и машиностроения;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- положительная динамика производства в сфере сельского хозяйства;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- увеличение розничного товарооборота, а также платных услуг.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При этом отрицательную динамику окажут: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- снижение объемов строительства;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- транспортно-логистические ограничения из-за нестабильной ситуации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br/>
        <w:t xml:space="preserve">на рынке ГСМ.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период 2027-2028 год ИФО ВРП составит 101,6%-101,5% (базовый вариант). Умеренный рост будет обеспечен, в основном,  сектором  обрабатывающих производств,  а также  сохранением потребительской активности (торговля).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По базовому варианту объем ВРП к 2029 году достигнет 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:lang w:eastAsia="ru-RU"/>
        </w:rPr>
        <w:t xml:space="preserve">1 432,5 </w:t>
      </w:r>
      <w:r>
        <w:rPr>
          <w:rFonts w:ascii="PT Astra Serif" w:hAnsi="PT Astra Serif" w:eastAsia="Times New Roman" w:cs="Times New Roman"/>
          <w:color w:val="000000" w:themeColor="text1"/>
          <w:sz w:val="26"/>
          <w:szCs w:val="26"/>
          <w:lang w:eastAsia="ru-RU"/>
        </w:rPr>
        <w:t xml:space="preserve">млр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руб. с ИФО 102,3%  при стабилизации ситуации с добычей нефти и росте объемов обрабатывающих производств, а также сектора энергетики.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При консервативном варианте ИФО ВРП – 101,1%, при целевом 103,5%.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Times New Roman"/>
          <w:sz w:val="26"/>
          <w:szCs w:val="26"/>
          <w:highlight w:val="white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highlight w:val="white"/>
          <w:lang w:eastAsia="ru-RU"/>
        </w:rPr>
        <w:t xml:space="preserve">Основные факторы роста ВРП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</w:rPr>
        <w:t xml:space="preserve">– повышение инвестиционной привлекательности в сферах промышленного производства, модернизации оборудования, улучшение технологических процессов и качества продукции, </w:t>
      </w:r>
      <w:r>
        <w:rPr>
          <w:rFonts w:ascii="PT Astra Serif" w:hAnsi="PT Astra Serif" w:eastAsia="Times New Roman" w:cs="Times New Roman"/>
          <w:sz w:val="26"/>
          <w:szCs w:val="26"/>
          <w:highlight w:val="white"/>
        </w:rPr>
        <w:t xml:space="preserve">цифровизации</w:t>
      </w:r>
      <w:r>
        <w:rPr>
          <w:rFonts w:ascii="PT Astra Serif" w:hAnsi="PT Astra Serif" w:eastAsia="Times New Roman" w:cs="Times New Roman"/>
          <w:sz w:val="26"/>
          <w:szCs w:val="26"/>
          <w:highlight w:val="white"/>
        </w:rPr>
        <w:t xml:space="preserve">, развития наукоемких направлений (микроэлектроники, малотоннажной химии и др.), создания новых продуктов в рамках кластерного подхода. </w:t>
      </w:r>
      <w:r>
        <w:rPr>
          <w:rFonts w:ascii="PT Astra Serif" w:hAnsi="PT Astra Serif" w:cs="Times New Roman"/>
          <w:sz w:val="26"/>
          <w:szCs w:val="26"/>
          <w:highlight w:val="white"/>
          <w:lang w:eastAsia="ru-RU"/>
        </w:rPr>
      </w:r>
      <w:r>
        <w:rPr>
          <w:rFonts w:ascii="PT Astra Serif" w:hAnsi="PT Astra Serif" w:cs="Times New Roman"/>
          <w:sz w:val="26"/>
          <w:szCs w:val="26"/>
          <w:highlight w:val="white"/>
          <w:lang w:eastAsia="ru-RU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При консервативном варианте рассматривается развитие экономики в условиях структурного снижения доходов населения и потребительского спроса, а также более глубокого сокращения экспорта и инвестиционной активности. В </w:t>
      </w:r>
      <w:r>
        <w:rPr>
          <w:rFonts w:ascii="PT Astra Serif" w:hAnsi="PT Astra Serif"/>
          <w:sz w:val="26"/>
          <w:szCs w:val="26"/>
        </w:rPr>
        <w:t xml:space="preserve">результате</w:t>
      </w:r>
      <w:r>
        <w:rPr>
          <w:rFonts w:ascii="PT Astra Serif" w:hAnsi="PT Astra Serif"/>
          <w:sz w:val="26"/>
          <w:szCs w:val="26"/>
        </w:rPr>
        <w:t xml:space="preserve"> темпы роста ВРП в период 2027 – 2029 годов при консервативном варианте прогнозируются на умеренном уровне 100,1% – 101,1%. 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целевом варианте уровень ВРП в 2027 – 2029 годах достигнет значений 103,0% – 103,5%.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Интегральным показателем эффективности экономики является производительность труда.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 2019 года в Томской области реализовывался национальный проект «Производительность труда», в рамках которого на предприятиях-участниках внедряется система бережливого производства.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 2025 года национальный проект «Производительность труда» трансформировался в федеральный (региональный) проект «Производительность труда», который вошел в новый национальный проект «Эффективная и конкурентная экономика».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время реализации национального проекта (2019 – 2025 годы):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вовлечено 78 предприятий Томской области шести базовых </w:t>
      </w:r>
      <w:r>
        <w:rPr>
          <w:rFonts w:ascii="PT Astra Serif" w:hAnsi="PT Astra Serif"/>
          <w:sz w:val="26"/>
          <w:szCs w:val="26"/>
          <w:highlight w:val="white"/>
        </w:rPr>
        <w:t xml:space="preserve">несырьевых</w:t>
      </w:r>
      <w:r>
        <w:rPr>
          <w:rFonts w:ascii="PT Astra Serif" w:hAnsi="PT Astra Serif"/>
          <w:sz w:val="26"/>
          <w:szCs w:val="26"/>
          <w:highlight w:val="white"/>
        </w:rPr>
        <w:t xml:space="preserve"> отраслей (обрабатывающие производства; строительство; транспорт и логистика; торговля; сельское хозяйство и пищевая промышленность; ЖКХ);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проведено обучение 1886 сотрудников предприятий-участников посредством специализированных тренингов, тестирований, программ обучения, направленных на повышение производительности труда;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проведено обучение 120 руководителей предприятий-участников национального проекта по программе «Лидеры производительности».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Задачу по повышению производительности труда на 5 и более процентов достигли 56,7% предприятий-участников национального проекта.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Реализация национального проекта за весь период позволила томским предприятиям в среднем увеличить выработку до 41%, снизить время протекания процессов до 41% и сократить незавершенное производство до 35%.</w:t>
      </w:r>
      <w:r/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2026 год в рамках федерального проекта стоят задачи: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вовлечь в федеральный проект 8 региональных предприятий;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обучить 270 руководителей и сотрудников предприятий-участников федерального проекта инструментам повышения производительности труда на учебной производственной площадке «Фабрика процессов»;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обучить 112 сотрудников предприятий-участников федерального проекта инструментам повышения производительности труда под региональным управлением (с РЦК);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реализовать на 8 региональных предприятиях-участниках проекты по повышению производительности труда по направлению «Бережливое производство» с помощью созданной региональной </w:t>
      </w:r>
      <w:r>
        <w:rPr>
          <w:rFonts w:ascii="PT Astra Serif" w:hAnsi="PT Astra Serif"/>
          <w:sz w:val="26"/>
          <w:szCs w:val="26"/>
          <w:highlight w:val="white"/>
        </w:rPr>
        <w:t xml:space="preserve">инфраструктуры обеспечения повышения производительности труда</w:t>
      </w:r>
      <w:r>
        <w:rPr>
          <w:rFonts w:ascii="PT Astra Serif" w:hAnsi="PT Astra Serif"/>
          <w:sz w:val="26"/>
          <w:szCs w:val="26"/>
          <w:highlight w:val="white"/>
        </w:rPr>
        <w:t xml:space="preserve">.</w:t>
      </w:r>
      <w:r/>
    </w:p>
    <w:p>
      <w:pPr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4.2. Промышленность </w:t>
      </w:r>
      <w:r/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Основу промышленности Томской области составляют два сектора – добыча полезных ископаемых и обрабатывающие производства (по итогам 2025 года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их доля – 89,2% в общем объеме отгруженных промышленных товаров и услуг).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2025 году зафиксировано снижение промышленного индекса на 1,1%,  в том числе: добыча полезных ископаемых – ИПП 96,6%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; обрабатывающие производства – ИПП 100,7%; обеспечение электрической энергией, газом и паром, кондиционирование воздуха – ИПП 100,7%; водоснабжение, водоотведение, организация сбора и утилизации отходов, деятельность по ликвидации загрязнений – ИПП 88,8%.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inorEastAsia"/>
          <w:sz w:val="26"/>
          <w:szCs w:val="26"/>
        </w:rPr>
      </w:pP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inorEastAsia"/>
          <w:sz w:val="26"/>
          <w:szCs w:val="26"/>
        </w:rPr>
      </w:pP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inorEastAsia"/>
          <w:sz w:val="26"/>
          <w:szCs w:val="26"/>
        </w:rPr>
      </w:pP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inorEastAsia"/>
          <w:sz w:val="26"/>
          <w:szCs w:val="26"/>
        </w:rPr>
      </w:pP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  <w:r>
        <w:rPr>
          <w:rFonts w:ascii="PT Astra Serif" w:hAnsi="PT Astra Serif" w:eastAsiaTheme="minorEastAsia"/>
          <w:sz w:val="26"/>
          <w:szCs w:val="26"/>
        </w:rPr>
      </w:r>
    </w:p>
    <w:p>
      <w:pPr>
        <w:jc w:val="both"/>
        <w:spacing w:after="120" w:line="240" w:lineRule="auto"/>
      </w:pPr>
      <w:r>
        <w:rPr>
          <w:lang w:eastAsia="ru-RU"/>
        </w:rPr>
      </w:r>
      <w:r/>
    </w:p>
    <w:p>
      <w:pPr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Индексы промышленного производства Томской области, %</w:t>
      </w:r>
      <w:r/>
    </w:p>
    <w:tbl>
      <w:tblPr>
        <w:tblpPr w:horzAnchor="margin" w:tblpX="149" w:vertAnchor="text" w:tblpY="16" w:leftFromText="180" w:topFromText="0" w:rightFromText="180" w:bottomFromText="0"/>
        <w:tblW w:w="100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993"/>
        <w:gridCol w:w="1134"/>
        <w:gridCol w:w="850"/>
        <w:gridCol w:w="992"/>
        <w:gridCol w:w="851"/>
      </w:tblGrid>
      <w:tr>
        <w:tblPrEx/>
        <w:trPr>
          <w:trHeight w:val="575"/>
        </w:trPr>
        <w:tc>
          <w:tcPr>
            <w:shd w:val="clear" w:color="ffffff" w:fill="ffffff"/>
            <w:tcW w:w="5211" w:type="dxa"/>
            <w:vAlign w:val="center"/>
            <w:vMerge w:val="restart"/>
            <w:textDirection w:val="lrTb"/>
            <w:noWrap/>
          </w:tcPr>
          <w:p>
            <w:pPr>
              <w:ind w:firstLine="709"/>
              <w:jc w:val="center"/>
              <w:spacing w:after="120" w:line="240" w:lineRule="auto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br w:type="page" w:clear="all"/>
            </w:r>
            <w:r>
              <w:rPr>
                <w:rFonts w:ascii="PT Astra Serif" w:hAnsi="PT Astra Serif"/>
                <w:sz w:val="26"/>
                <w:szCs w:val="26"/>
              </w:rPr>
              <w:t xml:space="preserve">Наименование</w:t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  <w:r>
              <w:rPr>
                <w:rFonts w:ascii="PT Astra Serif" w:hAnsi="PT Astra Serif"/>
                <w:bCs/>
                <w:sz w:val="26"/>
                <w:szCs w:val="26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2025 год (факт)</w:t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left="-108" w:right="-108"/>
              <w:jc w:val="center"/>
              <w:spacing w:after="120" w:line="240" w:lineRule="auto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2026 год (оценка)</w:t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</w:p>
        </w:tc>
        <w:tc>
          <w:tcPr>
            <w:gridSpan w:val="3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Прогноз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(базовый вариант)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>
          <w:trHeight w:val="575"/>
        </w:trPr>
        <w:tc>
          <w:tcPr>
            <w:shd w:val="clear" w:color="ffffff" w:fill="ffffff"/>
            <w:tcW w:w="5211" w:type="dxa"/>
            <w:vAlign w:val="center"/>
            <w:vMerge w:val="continue"/>
            <w:textDirection w:val="lrTb"/>
            <w:noWrap/>
          </w:tcPr>
          <w:p>
            <w:pPr>
              <w:ind w:firstLine="709"/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ind w:firstLine="709"/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  <w:vertAlign w:val="superscript"/>
              </w:rPr>
            </w:pP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ind w:firstLine="709"/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  <w:vertAlign w:val="superscript"/>
              </w:rPr>
            </w:pP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  <w:r>
              <w:rPr>
                <w:rFonts w:ascii="PT Astra Serif" w:hAnsi="PT Astra Serif"/>
                <w:sz w:val="26"/>
                <w:szCs w:val="26"/>
                <w:vertAlign w:val="superscript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2027 год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2028 год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2029 год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>
          <w:trHeight w:val="375"/>
        </w:trPr>
        <w:tc>
          <w:tcPr>
            <w:shd w:val="clear" w:color="ffffff" w:fill="ffffff"/>
            <w:tcW w:w="5211" w:type="dxa"/>
            <w:vAlign w:val="center"/>
            <w:textDirection w:val="lrTb"/>
            <w:noWrap/>
          </w:tcPr>
          <w:p>
            <w:pPr>
              <w:spacing w:after="120" w:line="240" w:lineRule="auto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Индекс промышленного производства (В,</w:t>
            </w:r>
            <w:r>
              <w:rPr>
                <w:rFonts w:ascii="PT Astra Serif" w:hAnsi="PT Astra Serif"/>
                <w:b/>
                <w:sz w:val="26"/>
                <w:szCs w:val="26"/>
                <w:lang w:val="en-US"/>
              </w:rPr>
              <w:t xml:space="preserve">C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,</w:t>
            </w:r>
            <w:r>
              <w:rPr>
                <w:rFonts w:ascii="PT Astra Serif" w:hAnsi="PT Astra Serif"/>
                <w:b/>
                <w:sz w:val="26"/>
                <w:szCs w:val="26"/>
                <w:lang w:val="en-US"/>
              </w:rPr>
              <w:t xml:space="preserve">D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,</w:t>
            </w:r>
            <w:r>
              <w:rPr>
                <w:rFonts w:ascii="PT Astra Serif" w:hAnsi="PT Astra Serif"/>
                <w:b/>
                <w:sz w:val="26"/>
                <w:szCs w:val="26"/>
                <w:lang w:val="en-US"/>
              </w:rPr>
              <w:t xml:space="preserve">E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 xml:space="preserve">), в том числе:</w:t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  <w:r>
              <w:rPr>
                <w:rFonts w:ascii="PT Astra Serif" w:hAnsi="PT Astra Serif"/>
                <w:b/>
                <w:sz w:val="26"/>
                <w:szCs w:val="26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98,9</w:t>
            </w:r>
            <w:r>
              <w:rPr>
                <w:rFonts w:ascii="PT Astra Serif" w:hAnsi="PT Astra Serif"/>
                <w:b/>
                <w:sz w:val="20"/>
              </w:rPr>
            </w:r>
            <w:r>
              <w:rPr>
                <w:rFonts w:ascii="PT Astra Serif" w:hAnsi="PT Astra Serif"/>
                <w:b/>
                <w:sz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/>
                <w:bCs/>
                <w:sz w:val="20"/>
              </w:rPr>
            </w:pPr>
            <w:r>
              <w:rPr>
                <w:rFonts w:ascii="PT Astra Serif" w:hAnsi="PT Astra Serif"/>
                <w:b/>
                <w:bCs/>
                <w:sz w:val="20"/>
              </w:rPr>
              <w:t xml:space="preserve">100,8</w:t>
            </w:r>
            <w:r>
              <w:rPr>
                <w:rFonts w:ascii="PT Astra Serif" w:hAnsi="PT Astra Serif"/>
                <w:b/>
                <w:bCs/>
                <w:sz w:val="20"/>
              </w:rPr>
            </w:r>
            <w:r>
              <w:rPr>
                <w:rFonts w:ascii="PT Astra Serif" w:hAnsi="PT Astra Serif"/>
                <w:b/>
                <w:bCs/>
                <w:sz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b/>
                <w:bCs/>
                <w:sz w:val="20"/>
              </w:rPr>
            </w:pPr>
            <w:r>
              <w:rPr>
                <w:rFonts w:ascii="PT Astra Serif" w:hAnsi="PT Astra Serif"/>
                <w:b/>
                <w:bCs/>
                <w:sz w:val="20"/>
              </w:rPr>
              <w:t xml:space="preserve">101,4</w:t>
            </w:r>
            <w:r>
              <w:rPr>
                <w:rFonts w:ascii="PT Astra Serif" w:hAnsi="PT Astra Serif"/>
                <w:b/>
                <w:bCs/>
                <w:sz w:val="20"/>
              </w:rPr>
            </w:r>
            <w:r>
              <w:rPr>
                <w:rFonts w:ascii="PT Astra Serif" w:hAnsi="PT Astra Serif"/>
                <w:b/>
                <w:bCs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PT Astra Serif" w:hAnsi="PT Astra Serif"/>
                <w:b/>
                <w:bCs/>
                <w:sz w:val="20"/>
              </w:rPr>
            </w:pPr>
            <w:r>
              <w:rPr>
                <w:rFonts w:ascii="PT Astra Serif" w:hAnsi="PT Astra Serif"/>
                <w:b/>
                <w:bCs/>
                <w:sz w:val="20"/>
              </w:rPr>
              <w:t xml:space="preserve">100,9</w:t>
            </w:r>
            <w:r>
              <w:rPr>
                <w:rFonts w:ascii="PT Astra Serif" w:hAnsi="PT Astra Serif"/>
                <w:b/>
                <w:bCs/>
                <w:sz w:val="20"/>
              </w:rPr>
            </w:r>
            <w:r>
              <w:rPr>
                <w:rFonts w:ascii="PT Astra Serif" w:hAnsi="PT Astra Serif"/>
                <w:b/>
                <w:bCs/>
                <w:sz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b/>
                <w:bCs/>
                <w:sz w:val="20"/>
              </w:rPr>
            </w:pPr>
            <w:r>
              <w:rPr>
                <w:rFonts w:ascii="PT Astra Serif" w:hAnsi="PT Astra Serif"/>
                <w:b/>
                <w:bCs/>
                <w:sz w:val="20"/>
              </w:rPr>
              <w:t xml:space="preserve">103,9</w:t>
            </w:r>
            <w:r>
              <w:rPr>
                <w:rFonts w:ascii="PT Astra Serif" w:hAnsi="PT Astra Serif"/>
                <w:b/>
                <w:bCs/>
                <w:sz w:val="20"/>
              </w:rPr>
            </w:r>
            <w:r>
              <w:rPr>
                <w:rFonts w:ascii="PT Astra Serif" w:hAnsi="PT Astra Serif"/>
                <w:b/>
                <w:bCs/>
                <w:sz w:val="20"/>
              </w:rPr>
            </w:r>
          </w:p>
        </w:tc>
      </w:tr>
      <w:tr>
        <w:tblPrEx/>
        <w:trPr>
          <w:trHeight w:val="171"/>
        </w:trPr>
        <w:tc>
          <w:tcPr>
            <w:shd w:val="clear" w:color="ffffff" w:fill="ffffff"/>
            <w:tcW w:w="521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Добыча полезных ископаемых (В)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96,6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100,9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99,4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100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99,1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</w:tr>
      <w:tr>
        <w:tblPrEx/>
        <w:trPr>
          <w:trHeight w:val="333"/>
        </w:trPr>
        <w:tc>
          <w:tcPr>
            <w:shd w:val="clear" w:color="ffffff" w:fill="ffffff"/>
            <w:tcW w:w="521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Обрабатывающие производства (С)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100,7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101,1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103,1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101,3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101,9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</w:tr>
      <w:tr>
        <w:tblPrEx/>
        <w:trPr>
          <w:trHeight w:val="467"/>
        </w:trPr>
        <w:tc>
          <w:tcPr>
            <w:shd w:val="clear" w:color="ffffff" w:fill="ffffff"/>
            <w:tcW w:w="521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Обеспечение электрической энергией, газом и паром; кондиционирование воздуха (D)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100,7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99,7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98,8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101,8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126,5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</w:tr>
      <w:tr>
        <w:tblPrEx/>
        <w:trPr>
          <w:trHeight w:val="920"/>
        </w:trPr>
        <w:tc>
          <w:tcPr>
            <w:shd w:val="clear" w:color="ffffff" w:fill="ffffff"/>
            <w:tcW w:w="521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Водоснабжение; водоотведение, организация сбора и утилизации отходов, деятельность по ликвидации загрязнений (Е)</w:t>
            </w: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shd w:val="clear" w:color="ffffff" w:fill="ffffff"/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88,8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shd w:val="clear" w:color="ffffff" w:fill="ff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95,6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102,5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101,8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PT Astra Serif" w:hAnsi="PT Astra Serif"/>
                <w:bCs/>
                <w:sz w:val="20"/>
              </w:rPr>
            </w:pPr>
            <w:r>
              <w:rPr>
                <w:rFonts w:ascii="PT Astra Serif" w:hAnsi="PT Astra Serif"/>
                <w:bCs/>
                <w:sz w:val="20"/>
              </w:rPr>
              <w:t xml:space="preserve">102</w:t>
            </w:r>
            <w:r>
              <w:rPr>
                <w:rFonts w:ascii="PT Astra Serif" w:hAnsi="PT Astra Serif"/>
                <w:bCs/>
                <w:sz w:val="20"/>
              </w:rPr>
            </w:r>
            <w:r>
              <w:rPr>
                <w:rFonts w:ascii="PT Astra Serif" w:hAnsi="PT Astra Serif"/>
                <w:bCs/>
                <w:sz w:val="20"/>
              </w:rPr>
            </w:r>
          </w:p>
        </w:tc>
      </w:tr>
    </w:tbl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yellow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6 месяцев 2026 года индекс промышленного производства </w:t>
      </w:r>
      <w:r>
        <w:rPr>
          <w:rFonts w:ascii="PT Astra Serif" w:hAnsi="PT Astra Serif"/>
          <w:sz w:val="26"/>
          <w:szCs w:val="26"/>
        </w:rPr>
        <w:t xml:space="preserve">Томской области сложился на уровне 104,7% за счет следующей динамики в секторах: добыча полезных ископаемых – 105,5%; обрабатывающая промышленность – 103,7%; энергетика – 96,3%, водоснабжение, водоотведение, организация сбора и утилизации отходов – 87,2%.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Ожидаемый по итогам 2026 года рост ИПП на 0,8% будет складываться за счет увеличения объемов производства в следующих секторах: добыча полезных</w:t>
      </w:r>
      <w:r>
        <w:rPr>
          <w:rFonts w:ascii="PT Astra Serif" w:hAnsi="PT Astra Serif"/>
          <w:sz w:val="26"/>
          <w:szCs w:val="26"/>
        </w:rPr>
        <w:t xml:space="preserve"> ископаемых – на 0,9%; в обрабатывающих производствах – на 1,1%. Снижение прогнозируется в обеспечении электрической энергией, газом и паром, кондиционирование воздуха на 0,3%; в водоснабжении; водоотведении, организации сбора и утилизации отходов на 4,4%.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среднесрочной перспективе до 2029 года по базовому варианту прогноза ожидается положительная динамика производства в пределах от 100,9% до 103,9%.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Прирост промышленного производства Томской области в 2029 году к уровню 2025 года прогнозируется на уровне 7,3%.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целевом варианте прогнозируются показатели ИПП в диапазоне 101,4% – 104,4%. С учетом сглаживания экономических последствий </w:t>
      </w:r>
      <w:r>
        <w:rPr>
          <w:rFonts w:ascii="PT Astra Serif" w:hAnsi="PT Astra Serif"/>
          <w:sz w:val="26"/>
          <w:szCs w:val="26"/>
        </w:rPr>
        <w:t xml:space="preserve">санкционного</w:t>
      </w:r>
      <w:r>
        <w:rPr>
          <w:rFonts w:ascii="PT Astra Serif" w:hAnsi="PT Astra Serif"/>
          <w:sz w:val="26"/>
          <w:szCs w:val="26"/>
        </w:rPr>
        <w:t xml:space="preserve"> давления, роста в обрабатывающих отраслях за счет внедрения передовых отечественных технологий, ввода опытно-демонстративного энергоблока БРЕСТ-ОД-300 прирост агрегированного индекса в 2029 году составит 9% к уровню 2025 года.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консервативном варианте предполагается пессимистичный сцен</w:t>
      </w:r>
      <w:r>
        <w:rPr>
          <w:rFonts w:ascii="PT Astra Serif" w:hAnsi="PT Astra Serif"/>
          <w:sz w:val="26"/>
          <w:szCs w:val="26"/>
        </w:rPr>
        <w:t xml:space="preserve">арий развития промышленного производства с ИПП в пределах 100% – 102,5% в результате дальнейших трудностей у компаний из-за санкций, ограничения доступа к рынкам импорта и экспорта готовой продукции, а также комплектующих, более глубокого снижения объемов </w:t>
      </w:r>
      <w:r>
        <w:rPr>
          <w:rFonts w:ascii="PT Astra Serif" w:hAnsi="PT Astra Serif"/>
          <w:sz w:val="26"/>
          <w:szCs w:val="26"/>
        </w:rPr>
        <w:t xml:space="preserve">нефтегазодобычи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В 2029 году прогнозируется  прирост ИПП к 2025 году на уровне 3,3%.</w:t>
      </w:r>
      <w:r/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t xml:space="preserve">В структуре промышленного производства прогнозируется рост доли </w:t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t xml:space="preserve">несырьевого</w:t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t xml:space="preserve"> сектора. В объеме отгруженной промышленной продукции доля добычи полезных ископаемых снизится с 34,7% (в 2025 году) до 31,6% в 2029 году на фоне увеличения удельного веса обрабатывающей промышленности до 54,8% (с 54,5%) и энергетики </w:t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br/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t xml:space="preserve">до</w:t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  <w:t xml:space="preserve"> 11,9% (с 9%).</w:t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pacing w:val="-6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Развитию промышленности способствуют действующие инструменты поддержки и развития промышленных предприятий и потенциальных инвесторов: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программы льготного кредитования;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система мер поддержки и развития промышленности, в </w:t>
      </w:r>
      <w:r>
        <w:rPr>
          <w:rFonts w:ascii="PT Astra Serif" w:hAnsi="PT Astra Serif"/>
          <w:sz w:val="26"/>
          <w:szCs w:val="26"/>
        </w:rPr>
        <w:t xml:space="preserve">т.ч</w:t>
      </w:r>
      <w:r>
        <w:rPr>
          <w:rFonts w:ascii="PT Astra Serif" w:hAnsi="PT Astra Serif"/>
          <w:sz w:val="26"/>
          <w:szCs w:val="26"/>
        </w:rPr>
        <w:t xml:space="preserve">. займы промышленным предприятиям на реализацию инвестиционных проектов;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система налоговых льгот – перевод лицензионных участков месторождений нефти с НДПИ на льготный </w:t>
      </w:r>
      <w:r>
        <w:rPr>
          <w:rFonts w:ascii="PT Astra Serif" w:hAnsi="PT Astra Serif"/>
          <w:sz w:val="26"/>
          <w:szCs w:val="26"/>
        </w:rPr>
        <w:t xml:space="preserve">налог</w:t>
      </w:r>
      <w:r>
        <w:rPr>
          <w:rFonts w:ascii="PT Astra Serif" w:hAnsi="PT Astra Serif"/>
          <w:sz w:val="26"/>
          <w:szCs w:val="26"/>
        </w:rPr>
        <w:t xml:space="preserve"> на дополнительный доход;</w:t>
      </w:r>
      <w:r>
        <w:rPr>
          <w:lang w:eastAsia="ru-RU"/>
        </w:rPr>
        <w:t xml:space="preserve"> 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региональная инфраструктура поддержки – оказание</w:t>
      </w:r>
      <w:r>
        <w:rPr>
          <w:rFonts w:ascii="PT Astra Serif" w:hAnsi="PT Astra Serif"/>
          <w:sz w:val="26"/>
          <w:szCs w:val="26"/>
        </w:rPr>
        <w:t xml:space="preserve"> комплексных услуг, в том числе сопровождение для получения федеральных и региональных мер поддержки, консультационная поддержка (Фонд развития бизнеса, Гарантийный фонд, Фонд микрофинансирования Томской области, Томская Торгово-промышленная палата, Центр </w:t>
      </w:r>
      <w:r>
        <w:rPr>
          <w:rFonts w:ascii="PT Astra Serif" w:hAnsi="PT Astra Serif"/>
          <w:sz w:val="26"/>
          <w:szCs w:val="26"/>
        </w:rPr>
        <w:t xml:space="preserve">поддержки экспорта, Центр инновационного развития, Агентство инвестиционного развития и др.);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инвестиционные площадки для размещения резидентов с инвестиционными проектами – промышленный парк «Томск», особая экономическая зона технико-внедренческого типа в г. Томске, территория опережающего социально-экономического развития «Северск».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На территории региона успе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шно реализуются крупные инвестиционные проекты, ориентированные на укрепление технологического суверенитета Российской Федерации. Одним из приоритетных направлений является создание технологии замкнутого топливного цикла в рамках атомного проекта «Прорыв».</w:t>
      </w:r>
      <w:r>
        <w:rPr>
          <w:rFonts w:ascii="PT Astra Serif" w:hAnsi="PT Astra Serif" w:cs="PT Astra Serif"/>
          <w:sz w:val="26"/>
          <w:szCs w:val="26"/>
        </w:rPr>
        <w:t xml:space="preserve"> Ожидается, что проект завершится в 2030 году, став определяющим фактором для долгосрочного развития отечественной атомной энергетики.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В 2025 году региональный Фонд развития промышленности увеличил объемы поддержки бизнеса благодаря привлечению дополнительных финансовых ресурсов. Объем 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докапитализации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фонда составил 70 млн. рублей, полученных из областного бюджета. Кроме того, из резервного фонда Правительства Российской Федерации регион получил субсидию в размере 50 млн. рублей, объем 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софинансирования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из бюджета области составил 6,2 млн. рублей. Всего в 2025 году общая сумма льготных займов, выданных предприятиям региона, составила 195 млн. рублей. Из них 163 млн. рублей направлены на инвестиционные проекты предприятий АО «НПФ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Микран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 (радиоэлектроника), ООО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Интергласс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 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и ООО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Гласмар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 (производство стекла и зеркал), ООО «Томские мебельные фасады» (мебель).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ru-RU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В 2024 году на базе регионального Фонда развития промышленности создана специализированная организация промышленного кластера. Результат ее работы – регистрация в 2025 году в 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Минпромторге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России трех промышленных кластеров.</w:t>
      </w:r>
      <w:r>
        <w:rPr>
          <w:rFonts w:ascii="PT Astra Serif" w:hAnsi="PT Astra Serif" w:eastAsia="Calibri"/>
          <w:sz w:val="26"/>
          <w:szCs w:val="26"/>
          <w:lang w:eastAsia="ru-RU"/>
        </w:rPr>
      </w:r>
      <w:r>
        <w:rPr>
          <w:rFonts w:ascii="PT Astra Serif" w:hAnsi="PT Astra Serif" w:eastAsia="Calibri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ru-RU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– Кластер «Лес, лесопереработка и лесохимия», в который вошло пять организаций: ООО «Монолит-Строй», ООО «Томские мебельные фасады», ООО «Альянс», ООО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Технострой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», ИП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Гагалинский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». Общий объем инвестиций – 8 млрд. рублей. Конечной продукцией станут деревянные 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домокомплекты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Calibri"/>
          <w:sz w:val="26"/>
          <w:szCs w:val="26"/>
          <w:lang w:eastAsia="ru-RU"/>
        </w:rPr>
      </w:r>
      <w:r>
        <w:rPr>
          <w:rFonts w:ascii="PT Astra Serif" w:hAnsi="PT Astra Serif" w:eastAsia="Calibri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ru-RU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– Кластер «Цветные и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редкоземельные металлы» создан на базе ТГОК «Ильменит», в который вошли предприятия, планирующие производить пигментный диоксид титана, алюминиевый порошок для производства газобетона, специальные краски – АО «ТГОК «Ильменит», ООО «Сибирский титан», ООО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Интергласс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», ООО «ЗКПД ТДСК», ООО «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Энгра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».</w:t>
      </w:r>
      <w:r>
        <w:rPr>
          <w:rFonts w:ascii="PT Astra Serif" w:hAnsi="PT Astra Serif" w:eastAsia="Calibri"/>
          <w:sz w:val="26"/>
          <w:szCs w:val="26"/>
          <w:lang w:eastAsia="ru-RU"/>
        </w:rPr>
        <w:t xml:space="preserve"> Объем инвестиций составит 6,1 млрд. рублей;</w:t>
      </w:r>
      <w:r>
        <w:rPr>
          <w:rFonts w:ascii="PT Astra Serif" w:hAnsi="PT Astra Serif" w:eastAsia="Calibri"/>
          <w:sz w:val="26"/>
          <w:szCs w:val="26"/>
          <w:lang w:eastAsia="ru-RU"/>
        </w:rPr>
      </w:r>
      <w:r>
        <w:rPr>
          <w:rFonts w:ascii="PT Astra Serif" w:hAnsi="PT Astra Serif" w:eastAsia="Calibri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/>
          <w:sz w:val="26"/>
          <w:szCs w:val="26"/>
          <w:lang w:eastAsia="ru-RU"/>
        </w:rPr>
      </w:pPr>
      <w:r>
        <w:rPr>
          <w:rFonts w:ascii="PT Astra Serif" w:hAnsi="PT Astra Serif" w:eastAsia="Calibri"/>
          <w:sz w:val="26"/>
          <w:szCs w:val="26"/>
          <w:lang w:eastAsia="ru-RU"/>
        </w:rPr>
        <w:t xml:space="preserve">– Кластер «Электроника и беспилотные технологии» объединил 13 предприятий из трех субъектов Российской Федерации: Томской области, Санкт-Петербурга и Москвы.</w:t>
      </w:r>
      <w:r>
        <w:rPr>
          <w:rFonts w:ascii="PT Astra Serif" w:hAnsi="PT Astra Serif" w:eastAsia="Calibri"/>
          <w:sz w:val="26"/>
          <w:szCs w:val="26"/>
          <w:lang w:eastAsia="ru-RU"/>
        </w:rPr>
      </w:r>
      <w:r>
        <w:rPr>
          <w:rFonts w:ascii="PT Astra Serif" w:hAnsi="PT Astra Serif" w:eastAsia="Calibri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</w:pPr>
      <w:r/>
      <w:r/>
    </w:p>
    <w:p>
      <w:r>
        <w:rPr>
          <w:rFonts w:ascii="PT Astra Serif" w:hAnsi="PT Astra Serif"/>
          <w:sz w:val="26"/>
          <w:szCs w:val="26"/>
        </w:rPr>
        <w:t xml:space="preserve">Раздел В – «Добыча полезных ископаемых»</w:t>
      </w:r>
      <w:r>
        <w:rPr>
          <w:rFonts w:ascii="PT Astra Serif" w:hAnsi="PT Astra Serif"/>
          <w:sz w:val="26"/>
          <w:szCs w:val="26"/>
          <w:lang w:eastAsia="ru-RU"/>
        </w:rPr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Добыча полезных ископаемых по объему отгруженной продукции занимает значительную долю в промышленности Томской области (34,7% в 2025 году). 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 итогам 2025 года ИПП сектора добычи составил 96,6%, по России – 98,4%.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Отрасль «Добыча сырой нефти и природного газа» является основной при формировании ИПП сектора добычи, ее доля в Разделе В составляет 87,8%.</w:t>
      </w:r>
      <w:r/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На территории области деятельность по добыче углеводородного сырья осуществляют 4 вертикально-интегрированных компании – ПАО «Газпром нефть», АО «ННК», ПАО НК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РуссНефть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», ПАО «Газпром». Геологоразведочные работы, добычу нефти, газа и конденсата на территории Томской области осуществляют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28 предприятий, имеющих соответствующие лицензии,  добычу из них осуществляют 13 компаний.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Основными нефтегазодобывающими компаниями являются: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АО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Томскнефть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 ВНК, ООО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Газпромнефть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-Восток», АО «Газпром добыча Томск», Томский филиал ПАО НК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Русснефть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», ООО «ВТК», группа компаний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Imperial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Energy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По итогам 2025 года добыча газа природного и попутного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 составила 4,8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млрд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м3 (94,3%).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Публикация информации о добыче нефти и производстве нефтяного сырья временно приостановлена по распоряжению Правительства Российской Федерации от 26.04.2023 № 1074-р.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 итогам шести месяцев текущего года ИПП добывающего сектора промышленности составил 105,5% (по России – 99,5%) в результате роста объемов добычи нефти и газа.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За январь – июнь 2025 года добыто 1 млрд. м³ природного газа (97,2%), 1,4 млрд. м³ попутного газа (119,1%). 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Исходя из производственных планов компаний в текущем году общий объем добычи газа оценивается</w:t>
      </w:r>
      <w:r>
        <w:rPr>
          <w:rFonts w:ascii="PT Astra Serif" w:hAnsi="PT Astra Serif"/>
          <w:sz w:val="26"/>
          <w:szCs w:val="26"/>
        </w:rPr>
        <w:t xml:space="preserve"> на 3,1% выше уровня 2025 года.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8"/>
        <w:jc w:val="both"/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</w:rPr>
        <w:t xml:space="preserve">Прогнозные объемы газодобычи Томской области до 2029 года находятся на уровне 4,7 – 5 млрд. м³ ежегодно.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отрасли «Добыча прочих полезных ископаемых» (доля в Разделе В – 0,4%) производственный индекс по итогам 2025 год</w:t>
      </w:r>
      <w:r>
        <w:rPr>
          <w:rFonts w:ascii="PT Astra Serif" w:hAnsi="PT Astra Serif"/>
          <w:sz w:val="26"/>
          <w:szCs w:val="26"/>
        </w:rPr>
        <w:t xml:space="preserve">а сложился на уровне 118,6%. В 2026 году индекс производства оценивается в 95,1% за счет снижения объемов добычи природных песков. Динамика производственного индекса в период до 2029 года находится в пределах 100% – 105% в зависимости от варианта прогноза.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от</w:t>
      </w:r>
      <w:r>
        <w:rPr>
          <w:rFonts w:ascii="PT Astra Serif" w:hAnsi="PT Astra Serif"/>
          <w:sz w:val="26"/>
          <w:szCs w:val="26"/>
        </w:rPr>
        <w:t xml:space="preserve">расли «Предоставление услуг в области добычи полезных ископаемых» (доля в Разделе В – 11,3%) оценка ИПП по итогам 2026 года составляет 100% (в 2024 году ИПП составил 84,8%) в результате умеренной динамики объема предоставляемых сопутствующих услуг в сфере </w:t>
      </w:r>
      <w:r>
        <w:rPr>
          <w:rFonts w:ascii="PT Astra Serif" w:hAnsi="PT Astra Serif"/>
          <w:sz w:val="26"/>
          <w:szCs w:val="26"/>
        </w:rPr>
        <w:t xml:space="preserve">нефтегазодобычи</w:t>
      </w:r>
      <w:r>
        <w:rPr>
          <w:rFonts w:ascii="PT Astra Serif" w:hAnsi="PT Astra Serif"/>
          <w:sz w:val="26"/>
          <w:szCs w:val="26"/>
        </w:rPr>
        <w:t xml:space="preserve">. Прогноз до 2029 года в пределах 100,9% – 103%.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Отрасль «Добыча металлических руд» (доля в Разделе В – 0,5%) формируется деятельностью АО «ТГОК «Ильменит»,  которое ведет добычу рудных песков </w:t>
      </w:r>
      <w:r>
        <w:rPr>
          <w:rFonts w:ascii="PT Astra Serif" w:hAnsi="PT Astra Serif"/>
          <w:sz w:val="26"/>
          <w:szCs w:val="26"/>
        </w:rPr>
        <w:t xml:space="preserve">Туганского</w:t>
      </w:r>
      <w:r>
        <w:rPr>
          <w:rFonts w:ascii="PT Astra Serif" w:hAnsi="PT Astra Serif"/>
          <w:sz w:val="26"/>
          <w:szCs w:val="26"/>
        </w:rPr>
        <w:t xml:space="preserve"> ильменит-</w:t>
      </w:r>
      <w:r>
        <w:rPr>
          <w:rFonts w:ascii="PT Astra Serif" w:hAnsi="PT Astra Serif"/>
          <w:sz w:val="26"/>
          <w:szCs w:val="26"/>
        </w:rPr>
        <w:t xml:space="preserve">цирконового</w:t>
      </w:r>
      <w:r>
        <w:rPr>
          <w:rFonts w:ascii="PT Astra Serif" w:hAnsi="PT Astra Serif"/>
          <w:sz w:val="26"/>
          <w:szCs w:val="26"/>
        </w:rPr>
        <w:t xml:space="preserve"> россыпного месторождения. Объем добычи по данному подразделу в прогнозном варианте снижен, что определяется отказом основного потребителя ООО «</w:t>
      </w:r>
      <w:r>
        <w:rPr>
          <w:rFonts w:ascii="PT Astra Serif" w:hAnsi="PT Astra Serif"/>
          <w:sz w:val="26"/>
          <w:szCs w:val="26"/>
        </w:rPr>
        <w:t xml:space="preserve">Ависма</w:t>
      </w:r>
      <w:r>
        <w:rPr>
          <w:rFonts w:ascii="PT Astra Serif" w:hAnsi="PT Astra Serif"/>
          <w:sz w:val="26"/>
          <w:szCs w:val="26"/>
        </w:rPr>
        <w:t xml:space="preserve">» (закупал до 70% сырья) в 2026 году от закупок ильменитового концентрата по причине снижения собственной производственной программы и наличия складских остатков. Рост показателя опр</w:t>
      </w:r>
      <w:r>
        <w:rPr>
          <w:rFonts w:ascii="PT Astra Serif" w:hAnsi="PT Astra Serif"/>
          <w:sz w:val="26"/>
          <w:szCs w:val="26"/>
        </w:rPr>
        <w:t xml:space="preserve">еделяется возможностью заключения долгосрочного договора на поставку выпускаемого сырья в сопоставимых объемах с ранее действующим договором.  Оценка ИПП отрасли по итогам текущего года – 72% (ИПП в 2025 году – 163,9%), прогноз до 2029 года – 66,8% – 129%.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целом</w:t>
      </w:r>
      <w:r>
        <w:rPr>
          <w:rFonts w:ascii="PT Astra Serif" w:hAnsi="PT Astra Serif"/>
          <w:sz w:val="26"/>
          <w:szCs w:val="26"/>
        </w:rPr>
        <w:t xml:space="preserve"> ИПП сектора добычи в среднесрочном периоде прогнозируется на уровне 98,6% – 100,4% в зависимости от варианта прогноза в результате динамики развития </w:t>
      </w:r>
      <w:r>
        <w:rPr>
          <w:rFonts w:ascii="PT Astra Serif" w:hAnsi="PT Astra Serif"/>
          <w:sz w:val="26"/>
          <w:szCs w:val="26"/>
        </w:rPr>
        <w:t xml:space="preserve">подотраслей</w:t>
      </w:r>
      <w:r>
        <w:rPr>
          <w:rFonts w:ascii="PT Astra Serif" w:hAnsi="PT Astra Serif"/>
          <w:sz w:val="26"/>
          <w:szCs w:val="26"/>
        </w:rPr>
        <w:t xml:space="preserve"> и степени их влияния в соответствии с занимаемой долей. Оценка 2025 года прогнозируется на уровне 100,9%.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</w:pPr>
      <w:r>
        <w:rPr>
          <w:rFonts w:ascii="PT Astra Serif" w:hAnsi="PT Astra Serif"/>
          <w:sz w:val="26"/>
          <w:szCs w:val="26"/>
        </w:rPr>
        <w:t xml:space="preserve">Повышение эффективно</w:t>
      </w:r>
      <w:r>
        <w:rPr>
          <w:rFonts w:ascii="PT Astra Serif" w:hAnsi="PT Astra Serif"/>
          <w:sz w:val="26"/>
          <w:szCs w:val="26"/>
        </w:rPr>
        <w:t xml:space="preserve">сти производственных процессов за счет обновления оборудования, применение новых технологий и материалов, рост автоматизации – задачи, которые ставятся перед компаниями на среднесрочный период для стабилизации производственных и экономических показателей д</w:t>
      </w:r>
      <w:r>
        <w:rPr>
          <w:rFonts w:ascii="PT Astra Serif" w:hAnsi="PT Astra Serif"/>
          <w:sz w:val="26"/>
          <w:szCs w:val="26"/>
        </w:rPr>
        <w:t xml:space="preserve">еятельности. Приоритетными направлениями при этом являются открытие новых залежей и месторождений углеводородного сырья, использование новых передовых технологий добычи, внедрение технологии поиска и разведки потенциально-продуктивных объектов, содержащих </w:t>
      </w:r>
      <w:r>
        <w:rPr>
          <w:rFonts w:ascii="PT Astra Serif" w:hAnsi="PT Astra Serif"/>
          <w:sz w:val="26"/>
          <w:szCs w:val="26"/>
        </w:rPr>
        <w:t xml:space="preserve">трудноизвлекаемые</w:t>
      </w:r>
      <w:r>
        <w:rPr>
          <w:rFonts w:ascii="PT Astra Serif" w:hAnsi="PT Astra Serif"/>
          <w:sz w:val="26"/>
          <w:szCs w:val="26"/>
        </w:rPr>
        <w:t xml:space="preserve"> запасы углеводородного сырья </w:t>
      </w:r>
      <w:r>
        <w:rPr>
          <w:rFonts w:ascii="PT Astra Serif" w:hAnsi="PT Astra Serif"/>
          <w:sz w:val="26"/>
          <w:szCs w:val="26"/>
        </w:rPr>
        <w:t xml:space="preserve">доюрского</w:t>
      </w:r>
      <w:r>
        <w:rPr>
          <w:rFonts w:ascii="PT Astra Serif" w:hAnsi="PT Astra Serif"/>
          <w:sz w:val="26"/>
          <w:szCs w:val="26"/>
        </w:rPr>
        <w:t xml:space="preserve"> комплекса Томской области.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Кроме того, динамику добычи углеводородного сырья в перспективе будут определять механизмы налогового стимулирования, направленные на повышение экономической привлекательности проектов по освоению </w:t>
      </w:r>
      <w:r>
        <w:rPr>
          <w:rFonts w:ascii="PT Astra Serif" w:hAnsi="PT Astra Serif"/>
          <w:sz w:val="26"/>
          <w:szCs w:val="26"/>
        </w:rPr>
        <w:t xml:space="preserve">трудноизвлекаемых</w:t>
      </w:r>
      <w:r>
        <w:rPr>
          <w:rFonts w:ascii="PT Astra Serif" w:hAnsi="PT Astra Serif"/>
          <w:sz w:val="26"/>
          <w:szCs w:val="26"/>
        </w:rPr>
        <w:t xml:space="preserve"> углеводородов и нефтяных месторождений с высокой </w:t>
      </w:r>
      <w:r>
        <w:rPr>
          <w:rFonts w:ascii="PT Astra Serif" w:hAnsi="PT Astra Serif"/>
          <w:sz w:val="26"/>
          <w:szCs w:val="26"/>
        </w:rPr>
        <w:t xml:space="preserve">выработанностью</w:t>
      </w:r>
      <w:r>
        <w:rPr>
          <w:rFonts w:ascii="PT Astra Serif" w:hAnsi="PT Astra Serif"/>
          <w:sz w:val="26"/>
          <w:szCs w:val="26"/>
        </w:rPr>
        <w:t xml:space="preserve"> запасов, то есть </w:t>
      </w:r>
      <w:r>
        <w:rPr>
          <w:rFonts w:ascii="PT Astra Serif" w:hAnsi="PT Astra Serif"/>
          <w:sz w:val="26"/>
          <w:szCs w:val="26"/>
        </w:rPr>
        <w:t xml:space="preserve">такие стабилизирующие меры поддержки, при которых нефтяные компании будут поддерживать добычу на выработанных месторождениях, продолжая инвестировать в разработку активов с </w:t>
      </w:r>
      <w:r>
        <w:rPr>
          <w:rFonts w:ascii="PT Astra Serif" w:hAnsi="PT Astra Serif"/>
          <w:sz w:val="26"/>
          <w:szCs w:val="26"/>
        </w:rPr>
        <w:t xml:space="preserve">трудноизвлекаемыми</w:t>
      </w:r>
      <w:r>
        <w:rPr>
          <w:rFonts w:ascii="PT Astra Serif" w:hAnsi="PT Astra Serif"/>
          <w:sz w:val="26"/>
          <w:szCs w:val="26"/>
        </w:rPr>
        <w:t xml:space="preserve"> запасами.</w:t>
      </w:r>
      <w:r>
        <w:rPr>
          <w:rFonts w:ascii="PT Astra Serif" w:hAnsi="PT Astra Serif"/>
          <w:sz w:val="26"/>
          <w:szCs w:val="26"/>
          <w:lang w:eastAsia="ru-RU"/>
        </w:rPr>
      </w:r>
      <w:r/>
    </w:p>
    <w:p>
      <w:r>
        <w:rPr>
          <w:rFonts w:ascii="PT Astra Serif" w:hAnsi="PT Astra Serif"/>
          <w:sz w:val="26"/>
          <w:szCs w:val="26"/>
        </w:rPr>
        <w:t xml:space="preserve">Раздел</w:t>
      </w:r>
      <w:r>
        <w:rPr>
          <w:rFonts w:ascii="PT Astra Serif" w:hAnsi="PT Astra Serif"/>
          <w:sz w:val="26"/>
          <w:szCs w:val="26"/>
        </w:rPr>
        <w:t xml:space="preserve"> С</w:t>
      </w:r>
      <w:r>
        <w:rPr>
          <w:rFonts w:ascii="PT Astra Serif" w:hAnsi="PT Astra Serif"/>
          <w:sz w:val="26"/>
          <w:szCs w:val="26"/>
        </w:rPr>
        <w:t xml:space="preserve"> – «Обрабатывающие производства»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Обрабатывающая промышленность Томской области по итогам 2025 года продемонстрировала устойчивые результаты: индекс промышленного </w:t>
      </w:r>
      <w:r>
        <w:rPr>
          <w:rFonts w:ascii="PT Astra Serif" w:hAnsi="PT Astra Serif"/>
          <w:sz w:val="26"/>
          <w:szCs w:val="26"/>
        </w:rPr>
        <w:t xml:space="preserve">производства составил 100,7%. За 2025 год промышленными предприятиями Томской области отгружено товаров, выполнено работ и услуг на сумму 624,4 млрд. рублей, из которых 340,3 млрд. рублей пришлось на обрабатывающие отрасли (доля в промышленности – 54,5 %).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Несмотря на санкции, инфляцию и изменение ключевой ставки Банка России, обрабатывающая промышленность продолжает демонстрировать стабильный рост.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Томская область продолжает</w:t>
      </w:r>
      <w:r>
        <w:rPr>
          <w:rFonts w:ascii="PT Astra Serif" w:hAnsi="PT Astra Serif"/>
          <w:sz w:val="26"/>
          <w:szCs w:val="26"/>
        </w:rPr>
        <w:t xml:space="preserve"> реализацию задач по поиску альтернативных поставщиков сырья, оборудования и материалов, выстраиванию новых логистических цепочек. Прежде всего, это касается предприятий машиностроения и микроэлектроники (детали для станков, микросхемы и их комплектующие).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Положительными темпами в 2025 году развивались следующие основные отрасли:</w:t>
      </w:r>
      <w:r/>
    </w:p>
    <w:tbl>
      <w:tblPr>
        <w:tblW w:w="10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2"/>
        <w:gridCol w:w="4016"/>
      </w:tblGrid>
      <w:tr>
        <w:tblPrEx/>
        <w:trPr>
          <w:trHeight w:val="555"/>
        </w:trPr>
        <w:tc>
          <w:tcPr>
            <w:tcBorders>
              <w:top w:val="single" w:color="438086" w:sz="8" w:space="0"/>
              <w:left w:val="none" w:color="000000" w:sz="4" w:space="0"/>
              <w:bottom w:val="single" w:color="438086" w:sz="8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ind w:left="288" w:firstLine="709"/>
              <w:spacing w:after="120" w:line="240" w:lineRule="auto"/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8000"/>
                <w:sz w:val="26"/>
                <w:szCs w:val="26"/>
              </w:rPr>
              <w:t xml:space="preserve">ПОЛОЖИТЕЛЬНАЯ ДИНАМИКА</w:t>
            </w:r>
            <w:r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r>
          </w:p>
        </w:tc>
        <w:tc>
          <w:tcPr>
            <w:tcBorders>
              <w:top w:val="single" w:color="438086" w:sz="8" w:space="0"/>
              <w:left w:val="none" w:color="000000" w:sz="4" w:space="0"/>
              <w:bottom w:val="single" w:color="438086" w:sz="8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8000"/>
                <w:sz w:val="26"/>
                <w:szCs w:val="26"/>
              </w:rPr>
              <w:t xml:space="preserve">Индекс</w:t>
            </w:r>
            <w:r>
              <w:rPr>
                <w:rFonts w:ascii="PT Astra Serif" w:hAnsi="PT Astra Serif" w:eastAsia="Times New Roman" w:cs="Arial"/>
                <w:b/>
                <w:bCs/>
                <w:color w:val="008000"/>
                <w:sz w:val="26"/>
                <w:szCs w:val="26"/>
                <w:lang w:val="en-US"/>
              </w:rPr>
              <w:br/>
            </w:r>
            <w:r>
              <w:rPr>
                <w:rFonts w:ascii="PT Astra Serif" w:hAnsi="PT Astra Serif" w:eastAsia="Times New Roman" w:cs="Arial"/>
                <w:b/>
                <w:bCs/>
                <w:color w:val="008000"/>
                <w:sz w:val="26"/>
                <w:szCs w:val="26"/>
              </w:rPr>
              <w:t xml:space="preserve">производства, %</w:t>
            </w:r>
            <w:r>
              <w:rPr>
                <w:rFonts w:ascii="PT Astra Serif" w:hAnsi="PT Astra Serif" w:eastAsia="Times New Roman" w:cs="Arial"/>
                <w:b/>
                <w:bCs/>
                <w:color w:val="008000"/>
                <w:sz w:val="26"/>
                <w:szCs w:val="26"/>
                <w:lang w:val="en-US"/>
              </w:rPr>
              <w:t xml:space="preserve"> </w:t>
            </w:r>
            <w:r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color w:val="008000"/>
                <w:sz w:val="26"/>
                <w:szCs w:val="26"/>
              </w:rPr>
            </w:r>
          </w:p>
        </w:tc>
      </w:tr>
      <w:tr>
        <w:tblPrEx/>
        <w:trPr>
          <w:trHeight w:val="641"/>
        </w:trPr>
        <w:tc>
          <w:tcPr>
            <w:shd w:val="clear" w:color="ffffff" w:fill="e9eded"/>
            <w:tcBorders>
              <w:top w:val="single" w:color="438086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  <w:t xml:space="preserve">Производство электрического оборудования </w:t>
            </w: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e9eded"/>
            <w:tcBorders>
              <w:top w:val="single" w:color="438086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b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  <w:t xml:space="preserve">125,7 </w:t>
            </w: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</w:r>
          </w:p>
        </w:tc>
      </w:tr>
      <w:tr>
        <w:tblPrEx/>
        <w:trPr>
          <w:trHeight w:val="310"/>
        </w:trPr>
        <w:tc>
          <w:tcPr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  <w:t xml:space="preserve">Производство машин и оборудования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  <w:tc>
          <w:tcPr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  <w:t xml:space="preserve">112,9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</w:tr>
      <w:tr>
        <w:tblPrEx/>
        <w:trPr>
          <w:trHeight w:val="641"/>
        </w:trPr>
        <w:tc>
          <w:tcPr>
            <w:shd w:val="clear" w:color="ffffff" w:fill="e9eded"/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sz w:val="26"/>
                <w:szCs w:val="26"/>
              </w:rPr>
              <w:t xml:space="preserve">Производство металлургическое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  <w:tc>
          <w:tcPr>
            <w:shd w:val="clear" w:color="ffffff" w:fill="e9eded"/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  <w:t xml:space="preserve">109,1 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</w:tr>
      <w:tr>
        <w:tblPrEx/>
        <w:trPr>
          <w:trHeight w:val="310"/>
        </w:trPr>
        <w:tc>
          <w:tcPr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sz w:val="26"/>
                <w:szCs w:val="26"/>
              </w:rPr>
              <w:t xml:space="preserve">Производство транспортных средств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  <w:tc>
          <w:tcPr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b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  <w:t xml:space="preserve">108,4</w:t>
            </w: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b/>
                <w:sz w:val="26"/>
                <w:szCs w:val="26"/>
              </w:rPr>
            </w:r>
          </w:p>
        </w:tc>
      </w:tr>
      <w:tr>
        <w:tblPrEx/>
        <w:trPr>
          <w:trHeight w:val="641"/>
        </w:trPr>
        <w:tc>
          <w:tcPr>
            <w:shd w:val="clear" w:color="ffffff" w:fill="e9eded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  <w:t xml:space="preserve">Производство пищевых продуктов 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  <w:tc>
          <w:tcPr>
            <w:shd w:val="clear" w:color="ffffff" w:fill="e9eded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  <w:t xml:space="preserve">102,1 </w:t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sz w:val="26"/>
                <w:szCs w:val="26"/>
              </w:rPr>
            </w:r>
          </w:p>
        </w:tc>
      </w:tr>
      <w:tr>
        <w:tblPrEx/>
        <w:trPr>
          <w:trHeight w:val="641"/>
        </w:trPr>
        <w:tc>
          <w:tcPr>
            <w:shd w:val="clear" w:color="ffffff" w:fill="e9eded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6192" w:type="dxa"/>
            <w:vAlign w:val="center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  <w:t xml:space="preserve">Производство компьютеров, электронных и оптических изделий</w:t>
            </w: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color w:val="000000"/>
                <w:sz w:val="26"/>
                <w:szCs w:val="26"/>
              </w:rPr>
            </w:r>
          </w:p>
        </w:tc>
        <w:tc>
          <w:tcPr>
            <w:shd w:val="clear" w:color="ffffff" w:fill="e9eded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108" w:type="dxa"/>
              <w:top w:w="15" w:type="dxa"/>
              <w:right w:w="108" w:type="dxa"/>
              <w:bottom w:w="0" w:type="dxa"/>
            </w:tcMar>
            <w:tcW w:w="4016" w:type="dxa"/>
            <w:vAlign w:val="center"/>
            <w:vMerge w:val="restart"/>
            <w:textDirection w:val="lrTb"/>
            <w:noWrap w:val="false"/>
          </w:tcPr>
          <w:p>
            <w:pPr>
              <w:ind w:right="72" w:firstLine="709"/>
              <w:jc w:val="center"/>
              <w:spacing w:after="120" w:line="240" w:lineRule="auto"/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  <w:t xml:space="preserve">101,9</w:t>
            </w: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</w:r>
            <w:r>
              <w:rPr>
                <w:rFonts w:ascii="PT Astra Serif" w:hAnsi="PT Astra Serif" w:eastAsia="Times New Roman" w:cs="Arial"/>
                <w:b/>
                <w:bCs/>
                <w:color w:val="000000"/>
                <w:sz w:val="26"/>
                <w:szCs w:val="26"/>
              </w:rPr>
            </w:r>
          </w:p>
        </w:tc>
      </w:tr>
    </w:tbl>
    <w:p>
      <w:pPr>
        <w:ind w:firstLine="0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Благодаря таким показателям Томская область заняла второе место среди субъектов Сибирского федерального округа по индексу промышленного производства в обрабатывающих отраслях (100,7%), уступив лишь Омской области (104%).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первом</w:t>
      </w:r>
      <w:r>
        <w:rPr>
          <w:rFonts w:ascii="PT Astra Serif" w:hAnsi="PT Astra Serif"/>
          <w:sz w:val="26"/>
          <w:szCs w:val="26"/>
        </w:rPr>
        <w:t xml:space="preserve"> полугодии текущего года отмечается снижение объемов производства обрабатывающих отраслей – ИПП составил 103,7%, по России – 100,7%.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Текущая (за шесть месяцев текущего года) и прогнозная динамика в основных отраслях следующая: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– пищевое производство (доля за 6 месяцев текущего года 20,1%) – ИПП 105,4%. Увеличены объемы производства, переработки и консервирования: мяса и субпродуктов на 3,9% (АО «</w:t>
      </w:r>
      <w:r>
        <w:rPr>
          <w:rFonts w:ascii="PT Astra Serif" w:hAnsi="PT Astra Serif"/>
          <w:sz w:val="26"/>
          <w:szCs w:val="26"/>
        </w:rPr>
        <w:t xml:space="preserve">Сибагро</w:t>
      </w:r>
      <w:r>
        <w:rPr>
          <w:rFonts w:ascii="PT Astra Serif" w:hAnsi="PT Astra Serif"/>
          <w:sz w:val="26"/>
          <w:szCs w:val="26"/>
        </w:rPr>
        <w:t xml:space="preserve">», </w:t>
      </w:r>
      <w:r>
        <w:rPr>
          <w:rFonts w:ascii="PT Astra Serif" w:hAnsi="PT Astra Serif"/>
          <w:sz w:val="26"/>
          <w:szCs w:val="26"/>
        </w:rPr>
        <w:t xml:space="preserve">Межениновская</w:t>
      </w:r>
      <w:r>
        <w:rPr>
          <w:rFonts w:ascii="PT Astra Serif" w:hAnsi="PT Astra Serif"/>
          <w:sz w:val="26"/>
          <w:szCs w:val="26"/>
        </w:rPr>
        <w:t xml:space="preserve"> птицефабрика); молока на 11,5%, сыров на 22,6%, творога на 15,9% (ООО «Деревенское молочко», ООО «Томское молоко»); хлебобулочных и хлебобулочных изделий на 16,9% (ООО «</w:t>
      </w:r>
      <w:r>
        <w:rPr>
          <w:rFonts w:ascii="PT Astra Serif" w:hAnsi="PT Astra Serif"/>
          <w:sz w:val="26"/>
          <w:szCs w:val="26"/>
        </w:rPr>
        <w:t xml:space="preserve">Глобал-Маркет</w:t>
      </w:r>
      <w:r>
        <w:rPr>
          <w:rFonts w:ascii="PT Astra Serif" w:hAnsi="PT Astra Serif"/>
          <w:sz w:val="26"/>
          <w:szCs w:val="26"/>
        </w:rPr>
        <w:t xml:space="preserve">», ООО «</w:t>
      </w:r>
      <w:r>
        <w:rPr>
          <w:rFonts w:ascii="PT Astra Serif" w:hAnsi="PT Astra Serif"/>
          <w:sz w:val="26"/>
          <w:szCs w:val="26"/>
        </w:rPr>
        <w:t xml:space="preserve">Спар</w:t>
      </w:r>
      <w:r>
        <w:rPr>
          <w:rFonts w:ascii="PT Astra Serif" w:hAnsi="PT Astra Serif"/>
          <w:sz w:val="26"/>
          <w:szCs w:val="26"/>
        </w:rPr>
        <w:t xml:space="preserve">-Томск» и малый бизнес).</w:t>
      </w:r>
      <w:r>
        <w:rPr>
          <w:rFonts w:ascii="PT Astra Serif" w:hAnsi="PT Astra Serif"/>
          <w:sz w:val="26"/>
          <w:szCs w:val="26"/>
        </w:rPr>
        <w:t xml:space="preserve"> ИПП за 2026 год прогнозируется на уровне 102%. В 2027 – 2029 годах: 102,1% – 102,5%  </w:t>
      </w:r>
      <w:r>
        <w:rPr>
          <w:rFonts w:ascii="PT Astra Serif" w:hAnsi="PT Astra Serif"/>
          <w:sz w:val="26"/>
          <w:szCs w:val="26"/>
        </w:rPr>
        <w:t xml:space="preserve">по базовому варианту развития, 101,5% – 102,3% – по консервативному, 102,3% – 102,5% – по целевому за счет проведения работы по модернизации оборудования, производственных процессов, расширению ассортимента и активному маркетинговому продвижению продукции;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– производство компьютеров, элект</w:t>
      </w:r>
      <w:r>
        <w:rPr>
          <w:rFonts w:ascii="PT Astra Serif" w:hAnsi="PT Astra Serif"/>
          <w:sz w:val="26"/>
          <w:szCs w:val="26"/>
        </w:rPr>
        <w:t xml:space="preserve">ронных и оптических изделий (доля – 7,2%) – ИПП 113,7%. Выросло производство термостатов и стабилизаторов давления на 24,6%, полупроводниковых приборов –  на 70%, диодов и транзисторов – на 2,5%, ламп и труб электронных – на 16,5%. Основные производители: </w:t>
      </w:r>
      <w:r>
        <w:rPr>
          <w:rFonts w:ascii="PT Astra Serif" w:hAnsi="PT Astra Serif"/>
          <w:sz w:val="26"/>
          <w:szCs w:val="26"/>
        </w:rPr>
        <w:t xml:space="preserve">АО «НПФ «</w:t>
      </w:r>
      <w:r>
        <w:rPr>
          <w:rFonts w:ascii="PT Astra Serif" w:hAnsi="PT Astra Serif"/>
          <w:sz w:val="26"/>
          <w:szCs w:val="26"/>
        </w:rPr>
        <w:t xml:space="preserve">Микран</w:t>
      </w:r>
      <w:r>
        <w:rPr>
          <w:rFonts w:ascii="PT Astra Serif" w:hAnsi="PT Astra Serif"/>
          <w:sz w:val="26"/>
          <w:szCs w:val="26"/>
        </w:rPr>
        <w:t xml:space="preserve">», АО НПЦ «Полюс», АО «НИИПП», ОАО «</w:t>
      </w:r>
      <w:r>
        <w:rPr>
          <w:rFonts w:ascii="PT Astra Serif" w:hAnsi="PT Astra Serif"/>
          <w:sz w:val="26"/>
          <w:szCs w:val="26"/>
        </w:rPr>
        <w:t xml:space="preserve">Манотомь</w:t>
      </w:r>
      <w:r>
        <w:rPr>
          <w:rFonts w:ascii="PT Astra Serif" w:hAnsi="PT Astra Serif"/>
          <w:sz w:val="26"/>
          <w:szCs w:val="26"/>
        </w:rPr>
        <w:t xml:space="preserve">», ООО «Томская электронная компания», ООО ТНПВО «СИАМ», ООО «НПП «</w:t>
      </w:r>
      <w:r>
        <w:rPr>
          <w:rFonts w:ascii="PT Astra Serif" w:hAnsi="PT Astra Serif"/>
          <w:sz w:val="26"/>
          <w:szCs w:val="26"/>
        </w:rPr>
        <w:t xml:space="preserve">Томьаналит</w:t>
      </w:r>
      <w:r>
        <w:rPr>
          <w:rFonts w:ascii="PT Astra Serif" w:hAnsi="PT Astra Serif"/>
          <w:sz w:val="26"/>
          <w:szCs w:val="26"/>
        </w:rPr>
        <w:t xml:space="preserve">», ООО «</w:t>
      </w:r>
      <w:r>
        <w:rPr>
          <w:rFonts w:ascii="PT Astra Serif" w:hAnsi="PT Astra Serif"/>
          <w:sz w:val="26"/>
          <w:szCs w:val="26"/>
        </w:rPr>
        <w:t xml:space="preserve">Элком</w:t>
      </w:r>
      <w:r>
        <w:rPr>
          <w:rFonts w:ascii="PT Astra Serif" w:hAnsi="PT Astra Serif"/>
          <w:sz w:val="26"/>
          <w:szCs w:val="26"/>
        </w:rPr>
        <w:t xml:space="preserve">+»).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Предприятия отрасли реализуют инвестиционные проекты по модернизации и расширению производственных мощностей, как за счет собственных средств, так и с привлечением федеральных мер государственной поддержки (АО «НИИПП», АО «НПЦ «Полюс», АО «НПФ «</w:t>
      </w:r>
      <w:r>
        <w:rPr>
          <w:rFonts w:ascii="PT Astra Serif" w:hAnsi="PT Astra Serif"/>
          <w:sz w:val="26"/>
          <w:szCs w:val="26"/>
        </w:rPr>
        <w:t xml:space="preserve">Микран</w:t>
      </w:r>
      <w:r>
        <w:rPr>
          <w:rFonts w:ascii="PT Astra Serif" w:hAnsi="PT Astra Serif"/>
          <w:sz w:val="26"/>
          <w:szCs w:val="26"/>
        </w:rPr>
        <w:t xml:space="preserve">», АО «</w:t>
      </w:r>
      <w:r>
        <w:rPr>
          <w:rFonts w:ascii="PT Astra Serif" w:hAnsi="PT Astra Serif"/>
          <w:sz w:val="26"/>
          <w:szCs w:val="26"/>
        </w:rPr>
        <w:t xml:space="preserve">Манотомь</w:t>
      </w:r>
      <w:r>
        <w:rPr>
          <w:rFonts w:ascii="PT Astra Serif" w:hAnsi="PT Astra Serif"/>
          <w:sz w:val="26"/>
          <w:szCs w:val="26"/>
        </w:rPr>
        <w:t xml:space="preserve">»).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Оценка уровня ИПП в 2026 году – 100,1%, прогноз до 2029 года – 100,5% – 102% в базовом варианте, 100% - 100,9% - в консервативном, 101,5% - 102,8% - в целевом.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среднесрочный период положительная динамика производства компьютеров, электронных и оптических изделий будет обусловлена следующими факторами: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реализацией политики </w:t>
      </w:r>
      <w:r>
        <w:rPr>
          <w:rFonts w:ascii="PT Astra Serif" w:hAnsi="PT Astra Serif"/>
          <w:sz w:val="26"/>
          <w:szCs w:val="26"/>
        </w:rPr>
        <w:t xml:space="preserve">импортозамещения</w:t>
      </w:r>
      <w:r>
        <w:rPr>
          <w:rFonts w:ascii="PT Astra Serif" w:hAnsi="PT Astra Serif"/>
          <w:sz w:val="26"/>
          <w:szCs w:val="26"/>
        </w:rPr>
        <w:t xml:space="preserve"> в рамках дальнейшего развития сотрудничества томских предприятий с крупными российскими компаниями (ПАО «Газпром», ПАО «Газпром нефть», ПАО «</w:t>
      </w:r>
      <w:r>
        <w:rPr>
          <w:rFonts w:ascii="PT Astra Serif" w:hAnsi="PT Astra Serif"/>
          <w:sz w:val="26"/>
          <w:szCs w:val="26"/>
        </w:rPr>
        <w:t xml:space="preserve">Интер</w:t>
      </w:r>
      <w:r>
        <w:rPr>
          <w:rFonts w:ascii="PT Astra Serif" w:hAnsi="PT Astra Serif"/>
          <w:sz w:val="26"/>
          <w:szCs w:val="26"/>
        </w:rPr>
        <w:t xml:space="preserve"> РАО», ПАО «</w:t>
      </w:r>
      <w:r>
        <w:rPr>
          <w:rFonts w:ascii="PT Astra Serif" w:hAnsi="PT Astra Serif"/>
          <w:sz w:val="26"/>
          <w:szCs w:val="26"/>
        </w:rPr>
        <w:t xml:space="preserve">Россети</w:t>
      </w:r>
      <w:r>
        <w:rPr>
          <w:rFonts w:ascii="PT Astra Serif" w:hAnsi="PT Astra Serif"/>
          <w:sz w:val="26"/>
          <w:szCs w:val="26"/>
        </w:rPr>
        <w:t xml:space="preserve">», ПАО «СИБУР Холдинг», ПАО «НК Роснефть»);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реализацией томскими предприятиями инвестиционных проектов, направленных на реконструкцию и техническое перевооружение действующих производств;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tabs>
          <w:tab w:val="left" w:pos="993" w:leader="none"/>
        </w:tabs>
      </w:pPr>
      <w:r>
        <w:rPr>
          <w:rFonts w:ascii="PT Astra Serif" w:hAnsi="PT Astra Serif"/>
          <w:sz w:val="26"/>
          <w:szCs w:val="26"/>
        </w:rPr>
        <w:t xml:space="preserve">–</w:t>
      </w:r>
      <w:r>
        <w:rPr>
          <w:rFonts w:ascii="PT Astra Serif" w:hAnsi="PT Astra Serif"/>
          <w:sz w:val="26"/>
          <w:szCs w:val="26"/>
        </w:rPr>
        <w:tab/>
        <w:t xml:space="preserve"> реализация инвестиционных проектов предприятий-участников кластера электроники и беспилотных технологий;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</w:t>
      </w:r>
      <w:r>
        <w:rPr>
          <w:rFonts w:ascii="PT Astra Serif" w:hAnsi="PT Astra Serif"/>
          <w:sz w:val="26"/>
          <w:szCs w:val="26"/>
          <w:highlight w:val="white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об</w:t>
      </w:r>
      <w:r>
        <w:rPr>
          <w:rFonts w:ascii="PT Astra Serif" w:hAnsi="PT Astra Serif"/>
          <w:sz w:val="26"/>
          <w:szCs w:val="26"/>
        </w:rPr>
        <w:t xml:space="preserve">работка древесины и производство изделий из дерева (доля – 7,2%) – ИПП 105,8%. Выросло производство: </w:t>
      </w:r>
      <w:r>
        <w:rPr>
          <w:rFonts w:ascii="PT Astra Serif" w:hAnsi="PT Astra Serif"/>
          <w:sz w:val="26"/>
          <w:szCs w:val="26"/>
        </w:rPr>
        <w:t xml:space="preserve">древесно-стружечных плит (ООО «</w:t>
      </w:r>
      <w:r>
        <w:rPr>
          <w:rFonts w:ascii="PT Astra Serif" w:hAnsi="PT Astra Serif"/>
          <w:sz w:val="26"/>
          <w:szCs w:val="26"/>
        </w:rPr>
        <w:t xml:space="preserve">Томлесдрев</w:t>
      </w:r>
      <w:r>
        <w:rPr>
          <w:rFonts w:ascii="PT Astra Serif" w:hAnsi="PT Astra Serif"/>
          <w:sz w:val="26"/>
          <w:szCs w:val="26"/>
        </w:rPr>
        <w:t xml:space="preserve">»), ориентированно стружечных плит (ООО «Монолит-Строй») на 3,3 %, пиломатериалов на 7,8%, ДВП на 18,5% (ООО «Монолит-Строй», ООО «</w:t>
      </w:r>
      <w:r>
        <w:rPr>
          <w:rFonts w:ascii="PT Astra Serif" w:hAnsi="PT Astra Serif"/>
          <w:sz w:val="26"/>
          <w:szCs w:val="26"/>
        </w:rPr>
        <w:t xml:space="preserve">Асиновский</w:t>
      </w:r>
      <w:r>
        <w:rPr>
          <w:rFonts w:ascii="PT Astra Serif" w:hAnsi="PT Astra Serif"/>
          <w:sz w:val="26"/>
          <w:szCs w:val="26"/>
        </w:rPr>
        <w:t xml:space="preserve"> завод МДФ»).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yellow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Оценка ИПП по итогам 2026 года составляет 99,2%. В 2027-2029 годах: 102% - 103% - по базовому варианту, 100,8% - 101,7% - по консервативному, 102,9% - 103,8% - по целевому варианту прогноза за счет стабильной работы предприятий отрасли и </w:t>
      </w:r>
      <w:r>
        <w:rPr>
          <w:rFonts w:ascii="PT Astra Serif" w:hAnsi="PT Astra Serif"/>
          <w:sz w:val="26"/>
          <w:szCs w:val="26"/>
        </w:rPr>
        <w:t xml:space="preserve">реализации</w:t>
      </w:r>
      <w:r>
        <w:rPr>
          <w:rFonts w:ascii="PT Astra Serif" w:hAnsi="PT Astra Serif"/>
          <w:sz w:val="26"/>
          <w:szCs w:val="26"/>
        </w:rPr>
        <w:t xml:space="preserve"> текущих </w:t>
      </w:r>
      <w:r>
        <w:rPr>
          <w:rFonts w:ascii="PT Astra Serif" w:hAnsi="PT Astra Serif"/>
          <w:sz w:val="26"/>
          <w:szCs w:val="26"/>
        </w:rPr>
        <w:t xml:space="preserve">инвестпроектов</w:t>
      </w:r>
      <w:r>
        <w:rPr>
          <w:rFonts w:ascii="PT Astra Serif" w:hAnsi="PT Astra Serif"/>
          <w:sz w:val="26"/>
          <w:szCs w:val="26"/>
        </w:rPr>
        <w:t xml:space="preserve"> по освоению лесов и глубокой переработки древесины.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настоящее время </w:t>
      </w:r>
      <w:r>
        <w:rPr>
          <w:rFonts w:ascii="PT Astra Serif" w:hAnsi="PT Astra Serif"/>
          <w:sz w:val="26"/>
          <w:szCs w:val="26"/>
        </w:rPr>
        <w:t xml:space="preserve">Минпромторгом</w:t>
      </w:r>
      <w:r>
        <w:rPr>
          <w:rFonts w:ascii="PT Astra Serif" w:hAnsi="PT Astra Serif"/>
          <w:sz w:val="26"/>
          <w:szCs w:val="26"/>
        </w:rPr>
        <w:t xml:space="preserve"> России три проекта Томской области включены в перечень приоритетных инвестиционных проектов в области освоения лесов: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«Создание лесозаготовительной инфраструктуры для освоения труднодоступных лесных территорий в Александровском и Каргасокском районах Томской области. Создание мощностей по комплексной переработке древесины в г. Томске и с. Красный Яр </w:t>
      </w:r>
      <w:r>
        <w:rPr>
          <w:rFonts w:ascii="PT Astra Serif" w:hAnsi="PT Astra Serif"/>
          <w:sz w:val="26"/>
          <w:szCs w:val="26"/>
        </w:rPr>
        <w:t xml:space="preserve">Кривошеинского</w:t>
      </w:r>
      <w:r>
        <w:rPr>
          <w:rFonts w:ascii="PT Astra Serif" w:hAnsi="PT Astra Serif"/>
          <w:sz w:val="26"/>
          <w:szCs w:val="26"/>
        </w:rPr>
        <w:t xml:space="preserve"> района Томской области» ООО «Лес-Экспорт»;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«Расширение производственных мощностей деревообрабатывающего предприятия ООО «</w:t>
      </w:r>
      <w:r>
        <w:rPr>
          <w:rFonts w:ascii="PT Astra Serif" w:hAnsi="PT Astra Serif"/>
          <w:sz w:val="26"/>
          <w:szCs w:val="26"/>
        </w:rPr>
        <w:t xml:space="preserve">Сибирьлес</w:t>
      </w:r>
      <w:r>
        <w:rPr>
          <w:rFonts w:ascii="PT Astra Serif" w:hAnsi="PT Astra Serif"/>
          <w:sz w:val="26"/>
          <w:szCs w:val="26"/>
        </w:rPr>
        <w:t xml:space="preserve">» по выпуску экспортно ориентированной лесопромышленной продукции» ООО «</w:t>
      </w:r>
      <w:r>
        <w:rPr>
          <w:rFonts w:ascii="PT Astra Serif" w:hAnsi="PT Astra Serif"/>
          <w:sz w:val="26"/>
          <w:szCs w:val="26"/>
        </w:rPr>
        <w:t xml:space="preserve">Сибирьлес</w:t>
      </w:r>
      <w:r>
        <w:rPr>
          <w:rFonts w:ascii="PT Astra Serif" w:hAnsi="PT Astra Serif"/>
          <w:sz w:val="26"/>
          <w:szCs w:val="26"/>
        </w:rPr>
        <w:t xml:space="preserve">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«Строительство завода по производству ориентированно стружечных плит (ОСП) мощностью 250 тыс. куб. м плиты в год» ООО «Монолит-Строй».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Продукция ОСП для Томской области является новой и послужит дополнительным шагом по созданию на территории региона кластерного проекта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 производству коне</w:t>
      </w:r>
      <w:r>
        <w:rPr>
          <w:rFonts w:ascii="PT Astra Serif" w:hAnsi="PT Astra Serif"/>
          <w:sz w:val="26"/>
          <w:szCs w:val="26"/>
        </w:rPr>
        <w:t xml:space="preserve">чной продукции и развитию такого направления как каркасное домостроение. Оно объединяет в себе отраслевую и межотраслевую кооперацию и направлено на увеличение потребления древесной продукции в Российской Федерации и снижение зависимости от внешних рынков;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производство резиновых и пластмассовых из</w:t>
      </w:r>
      <w:r>
        <w:rPr>
          <w:rFonts w:ascii="PT Astra Serif" w:hAnsi="PT Astra Serif"/>
          <w:sz w:val="26"/>
          <w:szCs w:val="26"/>
        </w:rPr>
        <w:t xml:space="preserve">делий (доля – 2,3%) – ИПП 98,8%. Снижено производство: плит, листов, пленки полимерных на 1,2%, пластмассовых бутылок и флаконов на 28,5%. Рост производства изделий из резиновых смесей на 19,1%, пластмассовых оконных блоков на 13,5%. Основные предприятия: </w:t>
      </w:r>
      <w:r>
        <w:rPr>
          <w:rFonts w:ascii="PT Astra Serif" w:hAnsi="PT Astra Serif"/>
          <w:sz w:val="26"/>
          <w:szCs w:val="26"/>
        </w:rPr>
        <w:t xml:space="preserve">Томский филиал ООО «</w:t>
      </w:r>
      <w:r>
        <w:rPr>
          <w:rFonts w:ascii="PT Astra Serif" w:hAnsi="PT Astra Serif"/>
          <w:sz w:val="26"/>
          <w:szCs w:val="26"/>
        </w:rPr>
        <w:t xml:space="preserve">Биаксплен</w:t>
      </w:r>
      <w:r>
        <w:rPr>
          <w:rFonts w:ascii="PT Astra Serif" w:hAnsi="PT Astra Serif"/>
          <w:sz w:val="26"/>
          <w:szCs w:val="26"/>
        </w:rPr>
        <w:t xml:space="preserve">», ООО «Поли-Система», ЗАО «НПК «Полимер-Компаунд», ООО «ТЗРО», АО «</w:t>
      </w:r>
      <w:r>
        <w:rPr>
          <w:rFonts w:ascii="PT Astra Serif" w:hAnsi="PT Astra Serif"/>
          <w:sz w:val="26"/>
          <w:szCs w:val="26"/>
        </w:rPr>
        <w:t xml:space="preserve">Сибкабель</w:t>
      </w:r>
      <w:r>
        <w:rPr>
          <w:rFonts w:ascii="PT Astra Serif" w:hAnsi="PT Astra Serif"/>
          <w:sz w:val="26"/>
          <w:szCs w:val="26"/>
        </w:rPr>
        <w:t xml:space="preserve">», ООО «РТ-Технологии».</w:t>
      </w:r>
      <w:r>
        <w:rPr>
          <w:rFonts w:ascii="PT Astra Serif" w:hAnsi="PT Astra Serif"/>
          <w:sz w:val="26"/>
          <w:szCs w:val="26"/>
        </w:rPr>
        <w:t xml:space="preserve"> Производство продукции осуществляется в соответствии с покупательским спросом и заключенными договорами.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ИПП в 2026 году оценивается на уровне 100,1%. В среднесрочной перспективе прогнозируются стабильные показатели ИПП н</w:t>
      </w:r>
      <w:r>
        <w:rPr>
          <w:rFonts w:ascii="PT Astra Serif" w:hAnsi="PT Astra Serif"/>
          <w:sz w:val="26"/>
          <w:szCs w:val="26"/>
        </w:rPr>
        <w:t xml:space="preserve">а уровне 100% - 102,6% в базовом варианте. Такая динамика будет обеспечена за счет роста объема производства современных материалов для кабельной промышленности после реализации инвестиционных проектов по модернизации производства в ЗАО «Полимер-Компаунд» </w:t>
      </w:r>
      <w:r>
        <w:rPr>
          <w:rFonts w:ascii="PT Astra Serif" w:hAnsi="PT Astra Serif"/>
          <w:sz w:val="26"/>
          <w:szCs w:val="26"/>
        </w:rPr>
        <w:t xml:space="preserve">и ООО</w:t>
      </w:r>
      <w:r>
        <w:rPr>
          <w:rFonts w:ascii="PT Astra Serif" w:hAnsi="PT Astra Serif"/>
          <w:sz w:val="26"/>
          <w:szCs w:val="26"/>
        </w:rPr>
        <w:t xml:space="preserve"> «МК-Полимер». По консервативному варианту прогноз на уровне 100% - 102,1%, 101,5% – 102,6% – по целевому;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производство напитков (доля – 3,2%) – ИПП 93,5%. </w:t>
      </w:r>
      <w:r>
        <w:rPr>
          <w:rFonts w:ascii="PT Astra Serif" w:hAnsi="PT Astra Serif"/>
          <w:sz w:val="26"/>
          <w:szCs w:val="26"/>
        </w:rPr>
        <w:t xml:space="preserve">Снижено производство кваса на 9,3%, напитков безалкогольных с соком, морсовых, на растительном сырье, на </w:t>
      </w:r>
      <w:r>
        <w:rPr>
          <w:rFonts w:ascii="PT Astra Serif" w:hAnsi="PT Astra Serif"/>
          <w:sz w:val="26"/>
          <w:szCs w:val="26"/>
        </w:rPr>
        <w:t xml:space="preserve">ароматизаторах</w:t>
      </w:r>
      <w:r>
        <w:rPr>
          <w:rFonts w:ascii="PT Astra Serif" w:hAnsi="PT Astra Serif"/>
          <w:sz w:val="26"/>
          <w:szCs w:val="26"/>
        </w:rPr>
        <w:t xml:space="preserve"> на 30,4%, напитки безалкогольные прочие на 11,4%. Снизился спрос на продукцию в связи с ее удорожанием, вызванным отнесением сахаросодержащих напитков к подакцизным товарам, а также ростом цен на необходимые ингредиенты.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Рост производства спиртных напитков составил 13,1%, пива - 3,4%.</w:t>
      </w:r>
      <w:r>
        <w:rPr>
          <w:rFonts w:ascii="PT Astra Serif" w:hAnsi="PT Astra Serif"/>
          <w:sz w:val="26"/>
          <w:szCs w:val="26"/>
        </w:rPr>
        <w:t xml:space="preserve"> Основные предприятия: </w:t>
      </w:r>
      <w:r>
        <w:rPr>
          <w:rFonts w:ascii="PT Astra Serif" w:hAnsi="PT Astra Serif"/>
          <w:sz w:val="26"/>
          <w:szCs w:val="26"/>
        </w:rPr>
        <w:t xml:space="preserve">ОАО «Томское пиво», ООО «Пивоварня </w:t>
      </w:r>
      <w:r>
        <w:rPr>
          <w:rFonts w:ascii="PT Astra Serif" w:hAnsi="PT Astra Serif"/>
          <w:sz w:val="26"/>
          <w:szCs w:val="26"/>
        </w:rPr>
        <w:t xml:space="preserve">Кожевниково</w:t>
      </w:r>
      <w:r>
        <w:rPr>
          <w:rFonts w:ascii="PT Astra Serif" w:hAnsi="PT Astra Serif"/>
          <w:sz w:val="26"/>
          <w:szCs w:val="26"/>
        </w:rPr>
        <w:t xml:space="preserve">», ООО «Ключевая вода», ООО «Дивные напитки», ООО «Норд–Н», ООО «Сибирские </w:t>
      </w:r>
      <w:r>
        <w:rPr>
          <w:rFonts w:ascii="PT Astra Serif" w:hAnsi="PT Astra Serif"/>
          <w:sz w:val="26"/>
          <w:szCs w:val="26"/>
        </w:rPr>
        <w:t xml:space="preserve">эконапитки</w:t>
      </w:r>
      <w:r>
        <w:rPr>
          <w:rFonts w:ascii="PT Astra Serif" w:hAnsi="PT Astra Serif"/>
          <w:sz w:val="26"/>
          <w:szCs w:val="26"/>
        </w:rPr>
        <w:t xml:space="preserve">».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Оценка ИПП по итогам 2026 года составляет 96,4%. В 2027-2029 годах: 100% - 100,2% по </w:t>
      </w:r>
      <w:r>
        <w:rPr>
          <w:rFonts w:ascii="PT Astra Serif" w:hAnsi="PT Astra Serif"/>
          <w:sz w:val="26"/>
          <w:szCs w:val="26"/>
        </w:rPr>
        <w:t xml:space="preserve">базовому</w:t>
      </w:r>
      <w:r>
        <w:rPr>
          <w:rFonts w:ascii="PT Astra Serif" w:hAnsi="PT Astra Serif"/>
          <w:sz w:val="26"/>
          <w:szCs w:val="26"/>
        </w:rPr>
        <w:t xml:space="preserve">, 97% - 100,1% по консервативному, 100% – 100,3% – по целевому вариантам. Наблюдается тенденция снижения объемов производства напитков. Умеренная динамика обусловлена рядом факторов: повышение акцизов и</w:t>
      </w:r>
      <w:r>
        <w:rPr>
          <w:rFonts w:ascii="PT Astra Serif" w:hAnsi="PT Astra Serif"/>
          <w:sz w:val="26"/>
          <w:szCs w:val="26"/>
        </w:rPr>
        <w:t xml:space="preserve"> минимальных розничных цен - новая налоговая нагрузка сделала производство менее рентабельным, особенно для продукции средней и низкой ценовой категории; экономическая ситуация – рост цен и нестабильность экономической ситуации снижают спрос на продукцию. </w:t>
      </w:r>
      <w:r>
        <w:rPr>
          <w:rFonts w:ascii="PT Astra Serif" w:hAnsi="PT Astra Serif"/>
          <w:sz w:val="26"/>
          <w:szCs w:val="26"/>
        </w:rPr>
        <w:t xml:space="preserve">Производители активно работают над диверсификацией ассортимента и повышением эффективности производства, чтобы сохранить позиции на рынке и привлечь новую аудиторию; 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производство электрического оборудовани</w:t>
      </w:r>
      <w:r>
        <w:rPr>
          <w:rFonts w:ascii="PT Astra Serif" w:hAnsi="PT Astra Serif"/>
          <w:sz w:val="26"/>
          <w:szCs w:val="26"/>
        </w:rPr>
        <w:t xml:space="preserve">я (доля 9,5%) – ИПП 87,6%. Снижено производство: электрических машин и специализированной аппаратуры на 35,3%, обмоточных проводов на 48,7%, некоторых видов кабельной продукции и электродвигателей. Рост производства волоконно-оптических кабелей и проводов </w:t>
      </w:r>
      <w:r>
        <w:rPr>
          <w:rFonts w:ascii="PT Astra Serif" w:hAnsi="PT Astra Serif"/>
          <w:sz w:val="26"/>
          <w:szCs w:val="26"/>
        </w:rPr>
        <w:t xml:space="preserve">для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ЛЭП</w:t>
      </w:r>
      <w:r>
        <w:rPr>
          <w:rFonts w:ascii="PT Astra Serif" w:hAnsi="PT Astra Serif"/>
          <w:sz w:val="26"/>
          <w:szCs w:val="26"/>
        </w:rPr>
        <w:t xml:space="preserve"> на 11,8%. Основные производители, влияющие на динамику – АО «ТЭТЗ», ООО «СЭТК», АО «</w:t>
      </w:r>
      <w:r>
        <w:rPr>
          <w:rFonts w:ascii="PT Astra Serif" w:hAnsi="PT Astra Serif"/>
          <w:sz w:val="26"/>
          <w:szCs w:val="26"/>
        </w:rPr>
        <w:t xml:space="preserve">ТомЗэл</w:t>
      </w:r>
      <w:r>
        <w:rPr>
          <w:rFonts w:ascii="PT Astra Serif" w:hAnsi="PT Astra Serif"/>
          <w:sz w:val="26"/>
          <w:szCs w:val="26"/>
        </w:rPr>
        <w:t xml:space="preserve">», АО «</w:t>
      </w:r>
      <w:r>
        <w:rPr>
          <w:rFonts w:ascii="PT Astra Serif" w:hAnsi="PT Astra Serif"/>
          <w:sz w:val="26"/>
          <w:szCs w:val="26"/>
        </w:rPr>
        <w:t xml:space="preserve">Сибкабель</w:t>
      </w:r>
      <w:r>
        <w:rPr>
          <w:rFonts w:ascii="PT Astra Serif" w:hAnsi="PT Astra Serif"/>
          <w:sz w:val="26"/>
          <w:szCs w:val="26"/>
        </w:rPr>
        <w:t xml:space="preserve">», ООО «Томский кабельный завод», ООО «НПО «</w:t>
      </w:r>
      <w:r>
        <w:rPr>
          <w:rFonts w:ascii="PT Astra Serif" w:hAnsi="PT Astra Serif"/>
          <w:sz w:val="26"/>
          <w:szCs w:val="26"/>
        </w:rPr>
        <w:t xml:space="preserve">Сибэлектромотор</w:t>
      </w:r>
      <w:r>
        <w:rPr>
          <w:rFonts w:ascii="PT Astra Serif" w:hAnsi="PT Astra Serif"/>
          <w:sz w:val="26"/>
          <w:szCs w:val="26"/>
        </w:rPr>
        <w:t xml:space="preserve">».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Оценка ИПП составляет 90,6%. Динамика показателей производства будет определяться реализацией мер</w:t>
      </w:r>
      <w:r>
        <w:rPr>
          <w:rFonts w:ascii="PT Astra Serif" w:hAnsi="PT Astra Serif"/>
          <w:sz w:val="26"/>
          <w:szCs w:val="26"/>
        </w:rPr>
        <w:t xml:space="preserve">оприятий дорожных карт по расширению использования томской продукции, в том числе импортозамещающей, крупными российскими компаниями, а также инвестиционной деятельностью крупных и средних предприятий, направленной на модернизацию действующих производств.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Прогнозная динамика ИПП составляет 100% - 102,6%  по базовому, 100% - 100,5% по консервативному, 100,5% – 102,6% по целевому вариантам; 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производство</w:t>
      </w:r>
      <w:r>
        <w:rPr>
          <w:rFonts w:ascii="PT Astra Serif" w:hAnsi="PT Astra Serif"/>
          <w:sz w:val="26"/>
          <w:szCs w:val="26"/>
        </w:rPr>
        <w:t xml:space="preserve"> нефтепродуктов (доля 16,6%) – ИПП 109,1%. Увеличено производство нефтепродуктов в результате увеличения объемов сырья, получаемого на переработку, а также на фоне низкой базы индекса периода 2025 года – 79,8%. Основные производители нефтепродуктов – ООО «</w:t>
      </w:r>
      <w:r>
        <w:rPr>
          <w:rFonts w:ascii="PT Astra Serif" w:hAnsi="PT Astra Serif"/>
          <w:sz w:val="26"/>
          <w:szCs w:val="26"/>
        </w:rPr>
        <w:t xml:space="preserve">Стрежевской</w:t>
      </w:r>
      <w:r>
        <w:rPr>
          <w:rFonts w:ascii="PT Astra Serif" w:hAnsi="PT Astra Serif"/>
          <w:sz w:val="26"/>
          <w:szCs w:val="26"/>
        </w:rPr>
        <w:t xml:space="preserve"> НПЗ», ООО «</w:t>
      </w:r>
      <w:r>
        <w:rPr>
          <w:rFonts w:ascii="PT Astra Serif" w:hAnsi="PT Astra Serif"/>
          <w:sz w:val="26"/>
          <w:szCs w:val="26"/>
        </w:rPr>
        <w:t xml:space="preserve">Томскнефтепереработка</w:t>
      </w:r>
      <w:r>
        <w:rPr>
          <w:rFonts w:ascii="PT Astra Serif" w:hAnsi="PT Astra Serif"/>
          <w:sz w:val="26"/>
          <w:szCs w:val="26"/>
        </w:rPr>
        <w:t xml:space="preserve">» имеют стабильную финансово-экономическую ситуацию. Н</w:t>
      </w:r>
      <w:r>
        <w:rPr>
          <w:rFonts w:ascii="PT Astra Serif" w:hAnsi="PT Astra Serif"/>
          <w:sz w:val="26"/>
          <w:szCs w:val="26"/>
        </w:rPr>
        <w:t xml:space="preserve">а ООО</w:t>
      </w:r>
      <w:r>
        <w:rPr>
          <w:rFonts w:ascii="PT Astra Serif" w:hAnsi="PT Astra Serif"/>
          <w:sz w:val="26"/>
          <w:szCs w:val="26"/>
        </w:rPr>
        <w:t xml:space="preserve"> «Александровский НПЗ» введен процесс банкротства – наблюдение.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период до 2029 года не планируется реализация крупных инвестиционных про</w:t>
      </w:r>
      <w:r>
        <w:rPr>
          <w:rFonts w:ascii="PT Astra Serif" w:hAnsi="PT Astra Serif"/>
          <w:sz w:val="26"/>
          <w:szCs w:val="26"/>
        </w:rPr>
        <w:t xml:space="preserve">ектов по созданию новых производств. Вложения будут направлены на поддержание имеющихся промышленных установок в рабочем состоянии, оптимизацию процессов, частичную модернизацию оборудования, реконструкцию зданий и улучшение качества выпускаемой продукции.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Учитывая прогнозы ведущих томских нефтеперерабатывающих предприятий, уровень </w:t>
      </w:r>
      <w:r>
        <w:rPr>
          <w:rFonts w:ascii="PT Astra Serif" w:hAnsi="PT Astra Serif"/>
          <w:sz w:val="26"/>
          <w:szCs w:val="26"/>
        </w:rPr>
        <w:t xml:space="preserve">ИПП в 2026 году оценивается на уровне 108,6%. На среднесрочную перспективу прогнозируется умеренная положительная динамика индекса производства на уровне 100,1% - 101,1% по базовому, 97,1% - 100% - по консервативному, 100,6% – 101,7% по целевому вариантам;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производство химических веществ и химических продуктов (доля 9,7%), ИПП составил 100,1%. Динамика ИПП отражает деятельность предприятий ООО «</w:t>
      </w:r>
      <w:r>
        <w:rPr>
          <w:rFonts w:ascii="PT Astra Serif" w:hAnsi="PT Astra Serif"/>
          <w:sz w:val="26"/>
          <w:szCs w:val="26"/>
        </w:rPr>
        <w:t xml:space="preserve">Томскнефтехим</w:t>
      </w:r>
      <w:r>
        <w:rPr>
          <w:rFonts w:ascii="PT Astra Serif" w:hAnsi="PT Astra Serif"/>
          <w:sz w:val="26"/>
          <w:szCs w:val="26"/>
        </w:rPr>
        <w:t xml:space="preserve">», ООО «Газпром метанол», Томский филиал ООО «</w:t>
      </w:r>
      <w:r>
        <w:rPr>
          <w:rFonts w:ascii="PT Astra Serif" w:hAnsi="PT Astra Serif"/>
          <w:sz w:val="26"/>
          <w:szCs w:val="26"/>
        </w:rPr>
        <w:t xml:space="preserve">Криогаз</w:t>
      </w:r>
      <w:r>
        <w:rPr>
          <w:rFonts w:ascii="PT Astra Serif" w:hAnsi="PT Astra Serif"/>
          <w:sz w:val="26"/>
          <w:szCs w:val="26"/>
        </w:rPr>
        <w:t xml:space="preserve"> Северо-Запад», ООО «</w:t>
      </w:r>
      <w:r>
        <w:rPr>
          <w:rFonts w:ascii="PT Astra Serif" w:hAnsi="PT Astra Serif"/>
          <w:sz w:val="26"/>
          <w:szCs w:val="26"/>
        </w:rPr>
        <w:t xml:space="preserve">Сибос</w:t>
      </w:r>
      <w:r>
        <w:rPr>
          <w:rFonts w:ascii="PT Astra Serif" w:hAnsi="PT Astra Serif"/>
          <w:sz w:val="26"/>
          <w:szCs w:val="26"/>
        </w:rPr>
        <w:t xml:space="preserve">». Выросло производство метанола на 12,4%, азота на 1,2%, полипропилена  на 2,4%, полиэтилена на 0,4%.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ИПП в 2026 году оценивается на уровне 100,1%. В 2027-2029 годах прогнозируется положительная динамика ИПП на уровне 101,7%-102,1% в базовом варианте, 100%-101% - в консервативном, 102,5% - 103% - в целевом.</w:t>
      </w:r>
      <w:r>
        <w:rPr>
          <w:rFonts w:ascii="PT Astra Serif" w:hAnsi="PT Astra Serif"/>
          <w:sz w:val="26"/>
          <w:szCs w:val="26"/>
        </w:rPr>
        <w:t xml:space="preserve"> Ожидается, что это будет обусловлено следующими факторами: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</w:t>
      </w:r>
      <w:r>
        <w:rPr>
          <w:rFonts w:ascii="PT Astra Serif" w:hAnsi="PT Astra Serif"/>
          <w:sz w:val="26"/>
          <w:szCs w:val="26"/>
        </w:rPr>
        <w:tab/>
        <w:t xml:space="preserve"> увеличением производства продукции в ООО «</w:t>
      </w:r>
      <w:r>
        <w:rPr>
          <w:rFonts w:ascii="PT Astra Serif" w:hAnsi="PT Astra Serif"/>
          <w:sz w:val="26"/>
          <w:szCs w:val="26"/>
        </w:rPr>
        <w:t xml:space="preserve">Томскнефтехим</w:t>
      </w:r>
      <w:r>
        <w:rPr>
          <w:rFonts w:ascii="PT Astra Serif" w:hAnsi="PT Astra Serif"/>
          <w:sz w:val="26"/>
          <w:szCs w:val="26"/>
        </w:rPr>
        <w:t xml:space="preserve">» после реализации инвестиционного проекта по максимизации мощности производств </w:t>
      </w:r>
      <w:r>
        <w:rPr>
          <w:rFonts w:ascii="PT Astra Serif" w:hAnsi="PT Astra Serif"/>
          <w:sz w:val="26"/>
          <w:szCs w:val="26"/>
        </w:rPr>
        <w:t xml:space="preserve">мономеров и ПЭНП (наибольшее вложение инвестиций, более 5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рублей,  ожидается в 2026 году);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</w:t>
      </w:r>
      <w:r>
        <w:rPr>
          <w:rFonts w:ascii="PT Astra Serif" w:hAnsi="PT Astra Serif"/>
          <w:sz w:val="26"/>
          <w:szCs w:val="26"/>
        </w:rPr>
        <w:tab/>
        <w:t xml:space="preserve"> регистрацией в 2026 году в </w:t>
      </w:r>
      <w:r>
        <w:rPr>
          <w:rFonts w:ascii="PT Astra Serif" w:hAnsi="PT Astra Serif"/>
          <w:sz w:val="26"/>
          <w:szCs w:val="26"/>
        </w:rPr>
        <w:t xml:space="preserve">Минпромторге</w:t>
      </w:r>
      <w:r>
        <w:rPr>
          <w:rFonts w:ascii="PT Astra Serif" w:hAnsi="PT Astra Serif"/>
          <w:sz w:val="26"/>
          <w:szCs w:val="26"/>
        </w:rPr>
        <w:t xml:space="preserve"> РФ Химического кластера и последующей реализацией инвестиционных проектов потенциальных участников кластера;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</w:t>
      </w:r>
      <w:r>
        <w:rPr>
          <w:rFonts w:ascii="PT Astra Serif" w:hAnsi="PT Astra Serif"/>
          <w:sz w:val="26"/>
          <w:szCs w:val="26"/>
        </w:rPr>
        <w:tab/>
        <w:t xml:space="preserve"> реализацией Инжиниринговым химико-технологическим центом (ИХТЦ) проекта по созданию Центра малотоннажной химии;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</w:t>
      </w:r>
      <w:r>
        <w:rPr>
          <w:rFonts w:ascii="PT Astra Serif" w:hAnsi="PT Astra Serif"/>
          <w:sz w:val="26"/>
          <w:szCs w:val="26"/>
        </w:rPr>
        <w:tab/>
        <w:t xml:space="preserve"> реализация ООО «Национальная газовая компания - Томск» проектов по разработке более десяти новых импортозамещающих продуктов.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Текущие ожидания позволяют по итогам 2026 года оценивать индекс производства обрабатывающей промышленности в пределах 101</w:t>
      </w:r>
      <w:r>
        <w:rPr>
          <w:rFonts w:ascii="PT Astra Serif" w:hAnsi="PT Astra Serif"/>
          <w:sz w:val="26"/>
          <w:szCs w:val="26"/>
        </w:rPr>
        <w:t xml:space="preserve">,1%. В период до 2029 года прогноз ИПП – на уровне 101,3% - 103,1% по базовому варианту, 99,9% - 100,8% – по консервативному, 101,8% - 103,7% - по целевому за счет роста в результате развития внутреннего спроса, в том числе, в условиях реализации программ </w:t>
      </w:r>
      <w:r>
        <w:rPr>
          <w:rFonts w:ascii="PT Astra Serif" w:hAnsi="PT Astra Serif"/>
          <w:sz w:val="26"/>
          <w:szCs w:val="26"/>
        </w:rPr>
        <w:t xml:space="preserve">импортозамещения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соответствии с кл</w:t>
      </w:r>
      <w:r>
        <w:rPr>
          <w:rFonts w:ascii="PT Astra Serif" w:hAnsi="PT Astra Serif"/>
          <w:sz w:val="26"/>
          <w:szCs w:val="26"/>
        </w:rPr>
        <w:t xml:space="preserve">ючевыми приоритетами развития обрабатывающих отраслей запланировано дальнейшее их развитие за счет реализации комплекса мер по повышению инвестиционной привлекательности, модернизации оборудования, улучшения технологических процессов и качества продукции, </w:t>
      </w:r>
      <w:r>
        <w:rPr>
          <w:rFonts w:ascii="PT Astra Serif" w:hAnsi="PT Astra Serif"/>
          <w:sz w:val="26"/>
          <w:szCs w:val="26"/>
        </w:rPr>
        <w:t xml:space="preserve">цифровизации</w:t>
      </w:r>
      <w:r>
        <w:rPr>
          <w:rFonts w:ascii="PT Astra Serif" w:hAnsi="PT Astra Serif"/>
          <w:sz w:val="26"/>
          <w:szCs w:val="26"/>
        </w:rPr>
        <w:t xml:space="preserve">, развития малотоннажной химии, создания новых продуктов в рамках кластерного подхода.</w:t>
      </w:r>
      <w:r/>
    </w:p>
    <w:p>
      <w:pPr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  <w:r/>
    </w:p>
    <w:p>
      <w:pPr>
        <w:rPr>
          <w:rFonts w:ascii="PT Astra Serif" w:hAnsi="PT Astra Serif"/>
          <w:sz w:val="26"/>
          <w:szCs w:val="26"/>
          <w:lang w:eastAsia="ru-RU"/>
        </w:rPr>
      </w:pPr>
      <w:r>
        <w:rPr>
          <w:lang w:eastAsia="ru-RU"/>
        </w:rPr>
      </w:r>
      <w:r>
        <w:rPr>
          <w:rFonts w:ascii="PT Astra Serif" w:hAnsi="PT Astra Serif"/>
          <w:sz w:val="26"/>
          <w:szCs w:val="26"/>
        </w:rPr>
        <w:t xml:space="preserve">Раздел D – «Обеспечение электрической энергией, газом и паром; кондиционирование воздуха»</w:t>
      </w:r>
      <w:r>
        <w:rPr>
          <w:rFonts w:ascii="PT Astra Serif" w:hAnsi="PT Astra Serif"/>
          <w:sz w:val="26"/>
          <w:szCs w:val="26"/>
          <w:lang w:eastAsia="ru-RU"/>
        </w:rPr>
      </w:r>
      <w:r>
        <w:rPr>
          <w:rFonts w:ascii="PT Astra Serif" w:hAnsi="PT Astra Serif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</w:t>
      </w:r>
      <w:r>
        <w:t xml:space="preserve"> </w:t>
      </w:r>
      <w:r>
        <w:rPr>
          <w:rFonts w:ascii="PT Astra Serif" w:hAnsi="PT Astra Serif"/>
          <w:sz w:val="26"/>
          <w:szCs w:val="26"/>
        </w:rPr>
        <w:t xml:space="preserve">В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секторе</w:t>
      </w:r>
      <w:r>
        <w:rPr>
          <w:rFonts w:ascii="PT Astra Serif" w:hAnsi="PT Astra Serif"/>
          <w:sz w:val="26"/>
          <w:szCs w:val="26"/>
        </w:rPr>
        <w:t xml:space="preserve"> энергетики Томской области (доля в промышленности – 9%) в 2025 году индекс производства составил 100,7% к предыдущему году.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Основные организации: ПАО «</w:t>
      </w:r>
      <w:r>
        <w:rPr>
          <w:rFonts w:ascii="PT Astra Serif" w:hAnsi="PT Astra Serif"/>
          <w:sz w:val="26"/>
          <w:szCs w:val="26"/>
        </w:rPr>
        <w:t xml:space="preserve">Россети</w:t>
      </w:r>
      <w:r>
        <w:rPr>
          <w:rFonts w:ascii="PT Astra Serif" w:hAnsi="PT Astra Serif"/>
          <w:sz w:val="26"/>
          <w:szCs w:val="26"/>
        </w:rPr>
        <w:t xml:space="preserve"> Томск», ООО «ГОРСЕТИ», АО «Томская генерация», АО «</w:t>
      </w:r>
      <w:r>
        <w:rPr>
          <w:rFonts w:ascii="PT Astra Serif" w:hAnsi="PT Astra Serif"/>
          <w:sz w:val="26"/>
          <w:szCs w:val="26"/>
        </w:rPr>
        <w:t xml:space="preserve">Томскоблгаз</w:t>
      </w:r>
      <w:r>
        <w:rPr>
          <w:rFonts w:ascii="PT Astra Serif" w:hAnsi="PT Astra Serif"/>
          <w:sz w:val="26"/>
          <w:szCs w:val="26"/>
        </w:rPr>
        <w:t xml:space="preserve">»,  ООО «Газпром газораспределение Томск», ТЭЦ АО «СХК».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Основу генерации Томской области составляют тепловые электростанции, вырабатывающие 53% от общей потребности области в мощности. Недостаток мощности покрывается за счет </w:t>
      </w:r>
      <w:r>
        <w:rPr>
          <w:rFonts w:ascii="PT Astra Serif" w:hAnsi="PT Astra Serif"/>
          <w:sz w:val="26"/>
          <w:szCs w:val="26"/>
        </w:rPr>
        <w:t xml:space="preserve">перетоков</w:t>
      </w:r>
      <w:r>
        <w:rPr>
          <w:rFonts w:ascii="PT Astra Serif" w:hAnsi="PT Astra Serif"/>
          <w:sz w:val="26"/>
          <w:szCs w:val="26"/>
        </w:rPr>
        <w:t xml:space="preserve"> из соседних энергосистем, входящих в объединённую энергосистему Сибири и ОЭС Урала.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2025 году отмечено небольшое снижение величины электропотребления на 1,7% до уровня 8480 млн. </w:t>
      </w:r>
      <w:r>
        <w:rPr>
          <w:rFonts w:ascii="PT Astra Serif" w:hAnsi="PT Astra Serif"/>
          <w:sz w:val="26"/>
          <w:szCs w:val="26"/>
        </w:rPr>
        <w:t xml:space="preserve">кВт•</w:t>
      </w:r>
      <w:r>
        <w:rPr>
          <w:rFonts w:ascii="PT Astra Serif" w:hAnsi="PT Astra Serif"/>
          <w:sz w:val="26"/>
          <w:szCs w:val="26"/>
        </w:rPr>
        <w:t xml:space="preserve">ч</w:t>
      </w:r>
      <w:r>
        <w:rPr>
          <w:rFonts w:ascii="PT Astra Serif" w:hAnsi="PT Astra Serif"/>
          <w:sz w:val="26"/>
          <w:szCs w:val="26"/>
        </w:rPr>
        <w:t xml:space="preserve"> в результате сокращения объемов производства в промышленном секторе экономики. Собственная выработка электроэнергии в Томской области в 2024 году составила 4,5 млрд. </w:t>
      </w:r>
      <w:r>
        <w:rPr>
          <w:rFonts w:ascii="PT Astra Serif" w:hAnsi="PT Astra Serif"/>
          <w:sz w:val="26"/>
          <w:szCs w:val="26"/>
        </w:rPr>
        <w:t xml:space="preserve">кВт•</w:t>
      </w:r>
      <w:r>
        <w:rPr>
          <w:rFonts w:ascii="PT Astra Serif" w:hAnsi="PT Astra Serif"/>
          <w:sz w:val="26"/>
          <w:szCs w:val="26"/>
        </w:rPr>
        <w:t xml:space="preserve">ч</w:t>
      </w:r>
      <w:r>
        <w:rPr>
          <w:rFonts w:ascii="PT Astra Serif" w:hAnsi="PT Astra Serif"/>
          <w:sz w:val="26"/>
          <w:szCs w:val="26"/>
        </w:rPr>
        <w:t xml:space="preserve">, что выше аналогичного показателя прошлого года на 3,3%.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структуре электропотребления наибольшую долю занимают: обрабатывающие производства (23,5%); отрасль добычи полезных ископаемых (21,2%); население (15,3%); энергетика (10,6%).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>
        <w:rPr>
          <w:rFonts w:ascii="PT Astra Serif" w:hAnsi="PT Astra Serif"/>
          <w:sz w:val="10"/>
          <w:szCs w:val="10"/>
        </w:rPr>
      </w:r>
      <w:r>
        <w:rPr>
          <w:rFonts w:ascii="PT Astra Serif" w:hAnsi="PT Astra Serif"/>
          <w:sz w:val="10"/>
          <w:szCs w:val="10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6месяцев текущего года в секторе энергетики: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1028"/>
        <w:numPr>
          <w:ilvl w:val="0"/>
          <w:numId w:val="36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снижено производство электроэнергии на 11,8%;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6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увеличено производство пара и горячей воды на 10,2% в </w:t>
      </w:r>
      <w:r>
        <w:rPr>
          <w:rFonts w:ascii="PT Astra Serif" w:hAnsi="PT Astra Serif"/>
          <w:color w:val="auto"/>
          <w:sz w:val="26"/>
          <w:szCs w:val="26"/>
        </w:rPr>
        <w:t xml:space="preserve">т.ч</w:t>
      </w:r>
      <w:r>
        <w:rPr>
          <w:rFonts w:ascii="PT Astra Serif" w:hAnsi="PT Astra Serif"/>
          <w:color w:val="auto"/>
          <w:sz w:val="26"/>
          <w:szCs w:val="26"/>
        </w:rPr>
        <w:t xml:space="preserve">. из-за более низкой температуры воздуха в отчетном периоде.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Согласно Схемы</w:t>
      </w:r>
      <w:r>
        <w:rPr>
          <w:rFonts w:ascii="PT Astra Serif" w:hAnsi="PT Astra Serif"/>
          <w:sz w:val="26"/>
          <w:szCs w:val="26"/>
        </w:rPr>
        <w:t xml:space="preserve"> и программы развития электроэнергетических систем России на 2026-2031 годы (далее – </w:t>
      </w:r>
      <w:r>
        <w:rPr>
          <w:rFonts w:ascii="PT Astra Serif" w:hAnsi="PT Astra Serif"/>
          <w:sz w:val="26"/>
          <w:szCs w:val="26"/>
        </w:rPr>
        <w:t xml:space="preserve">СиПР</w:t>
      </w:r>
      <w:r>
        <w:rPr>
          <w:rFonts w:ascii="PT Astra Serif" w:hAnsi="PT Astra Serif"/>
          <w:sz w:val="26"/>
          <w:szCs w:val="26"/>
        </w:rPr>
        <w:t xml:space="preserve"> ЭЭС) прирост мощности на электростанциях энергосистемы Томской области в период 2026-2029 годов предусматривается в р</w:t>
      </w:r>
      <w:r>
        <w:rPr>
          <w:rFonts w:ascii="PT Astra Serif" w:hAnsi="PT Astra Serif"/>
          <w:sz w:val="26"/>
          <w:szCs w:val="26"/>
        </w:rPr>
        <w:t xml:space="preserve">езультате проведения мероприятий по модернизации существующего генерирующего оборудования ТЭЦ АО «СХК» в объеме 10 МВт. Вводы новых генерирующих мощностей на электростанциях энергосистемы Томской области в прогнозный период предусматриваются в объеме 300 М</w:t>
      </w:r>
      <w:r>
        <w:rPr>
          <w:rFonts w:ascii="PT Astra Serif" w:hAnsi="PT Astra Serif"/>
          <w:sz w:val="26"/>
          <w:szCs w:val="26"/>
        </w:rPr>
        <w:t xml:space="preserve">Вт в св</w:t>
      </w:r>
      <w:r>
        <w:rPr>
          <w:rFonts w:ascii="PT Astra Serif" w:hAnsi="PT Astra Serif"/>
          <w:sz w:val="26"/>
          <w:szCs w:val="26"/>
        </w:rPr>
        <w:t xml:space="preserve">язи с вводом опытно-демонстративного энергоблока в г. Северск типа БРЕСТ-ОД-300 установленной мощностью 300 МВт к концу 2028 года в соответствии с </w:t>
      </w:r>
      <w:r>
        <w:rPr>
          <w:rFonts w:ascii="PT Astra Serif" w:hAnsi="PT Astra Serif"/>
          <w:sz w:val="26"/>
          <w:szCs w:val="26"/>
        </w:rPr>
        <w:t xml:space="preserve">СиПР</w:t>
      </w:r>
      <w:r>
        <w:rPr>
          <w:rFonts w:ascii="PT Astra Serif" w:hAnsi="PT Astra Serif"/>
          <w:sz w:val="26"/>
          <w:szCs w:val="26"/>
        </w:rPr>
        <w:t xml:space="preserve"> ЭЭС и Генеральной схемой размещения объектов электроэнергетики до 2042 года.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Оценка индекса производства в 2026 году прогнозируется на уровне 99,7%. Ожидаемый объем производства электрической энергии по итогам 2026 года в размере 4,192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кВт•ч</w:t>
      </w:r>
      <w:r>
        <w:rPr>
          <w:rFonts w:ascii="PT Astra Serif" w:hAnsi="PT Astra Serif"/>
          <w:sz w:val="26"/>
          <w:szCs w:val="26"/>
        </w:rPr>
        <w:t xml:space="preserve"> ниже уровня 2025 года на 6,1%.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Томская энергосистема в период 2026 - 2028 </w:t>
      </w:r>
      <w:r>
        <w:rPr>
          <w:rFonts w:ascii="PT Astra Serif" w:hAnsi="PT Astra Serif"/>
          <w:sz w:val="26"/>
          <w:szCs w:val="26"/>
        </w:rPr>
        <w:t xml:space="preserve">г.г</w:t>
      </w:r>
      <w:r>
        <w:rPr>
          <w:rFonts w:ascii="PT Astra Serif" w:hAnsi="PT Astra Serif"/>
          <w:sz w:val="26"/>
          <w:szCs w:val="26"/>
        </w:rPr>
        <w:t xml:space="preserve">. характеризуется умеренными темпами роста. </w:t>
      </w:r>
      <w:r>
        <w:rPr>
          <w:rFonts w:ascii="PT Astra Serif" w:hAnsi="PT Astra Serif"/>
          <w:sz w:val="26"/>
          <w:szCs w:val="26"/>
        </w:rPr>
        <w:t xml:space="preserve">Индекс производства в период 2027 - 2028 </w:t>
      </w:r>
      <w:r>
        <w:rPr>
          <w:rFonts w:ascii="PT Astra Serif" w:hAnsi="PT Astra Serif"/>
          <w:sz w:val="26"/>
          <w:szCs w:val="26"/>
        </w:rPr>
        <w:t xml:space="preserve">г.г</w:t>
      </w:r>
      <w:r>
        <w:rPr>
          <w:rFonts w:ascii="PT Astra Serif" w:hAnsi="PT Astra Serif"/>
          <w:sz w:val="26"/>
          <w:szCs w:val="26"/>
        </w:rPr>
        <w:t xml:space="preserve">. для базового варианта находится в пределах 98,8% - 101,8%, для консервативного 98% - 101%, 100% - 102,4% для целевого.</w:t>
      </w:r>
      <w:r>
        <w:rPr>
          <w:rFonts w:ascii="PT Astra Serif" w:hAnsi="PT Astra Serif"/>
          <w:sz w:val="26"/>
          <w:szCs w:val="26"/>
        </w:rPr>
        <w:t xml:space="preserve"> В 2029 году прогнозируемый индекс производства 126,5% </w:t>
      </w:r>
      <w:r>
        <w:rPr>
          <w:rFonts w:ascii="PT Astra Serif" w:hAnsi="PT Astra Serif"/>
          <w:sz w:val="26"/>
          <w:szCs w:val="26"/>
        </w:rPr>
        <w:t xml:space="preserve">в базовом варианте связан с ростом выработки электрической энергии в связи с планируемым вводом опытно-демонстративного энергоблока в г</w:t>
      </w:r>
      <w:r>
        <w:rPr>
          <w:rFonts w:ascii="PT Astra Serif" w:hAnsi="PT Astra Serif"/>
          <w:sz w:val="26"/>
          <w:szCs w:val="26"/>
        </w:rPr>
        <w:t xml:space="preserve">. Северск.</w:t>
      </w:r>
      <w:r/>
    </w:p>
    <w:p>
      <w:pPr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lang w:eastAsia="ru-RU"/>
        </w:rPr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Раздел</w:t>
      </w:r>
      <w:r>
        <w:rPr>
          <w:rFonts w:ascii="PT Astra Serif" w:hAnsi="PT Astra Serif"/>
          <w:sz w:val="26"/>
          <w:szCs w:val="26"/>
        </w:rPr>
        <w:t xml:space="preserve"> Е</w:t>
      </w:r>
      <w:r>
        <w:rPr>
          <w:rFonts w:ascii="PT Astra Serif" w:hAnsi="PT Astra Serif"/>
          <w:sz w:val="26"/>
          <w:szCs w:val="26"/>
        </w:rPr>
        <w:t xml:space="preserve"> – «Водоснабжение, водоотведение, организация сбора и утилизации отходов, деятельность по ликвидации загрязнений»</w:t>
      </w:r>
      <w:r>
        <w:rPr>
          <w:lang w:eastAsia="ru-RU"/>
        </w:rPr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2025 году ИПП по данному виду деятельности составил 88,8% в результате снижения объемов услуг по: сбору, обработке и утилизации отходов, обработке вторичного сырья на 11,1%; забору, очистке и распределению воды на 11,2%.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Основными предприятиями отрасли являются организации сферы ЖКХ: </w:t>
      </w:r>
      <w:r>
        <w:rPr>
          <w:rFonts w:ascii="PT Astra Serif" w:hAnsi="PT Astra Serif"/>
          <w:sz w:val="26"/>
          <w:szCs w:val="26"/>
        </w:rPr>
        <w:t xml:space="preserve">МБУ «Томск САХ», ООО «</w:t>
      </w:r>
      <w:r>
        <w:rPr>
          <w:rFonts w:ascii="PT Astra Serif" w:hAnsi="PT Astra Serif"/>
          <w:sz w:val="26"/>
          <w:szCs w:val="26"/>
        </w:rPr>
        <w:t xml:space="preserve">Томскводоканал</w:t>
      </w:r>
      <w:r>
        <w:rPr>
          <w:rFonts w:ascii="PT Astra Serif" w:hAnsi="PT Astra Serif"/>
          <w:sz w:val="26"/>
          <w:szCs w:val="26"/>
        </w:rPr>
        <w:t xml:space="preserve">»,  АО «Северский водоканал», ООО «ГОС»,  ООО «</w:t>
      </w:r>
      <w:r>
        <w:rPr>
          <w:rFonts w:ascii="PT Astra Serif" w:hAnsi="PT Astra Serif"/>
          <w:sz w:val="26"/>
          <w:szCs w:val="26"/>
        </w:rPr>
        <w:t xml:space="preserve">Вторчермет</w:t>
      </w:r>
      <w:r>
        <w:rPr>
          <w:rFonts w:ascii="PT Astra Serif" w:hAnsi="PT Astra Serif"/>
          <w:sz w:val="26"/>
          <w:szCs w:val="26"/>
        </w:rPr>
        <w:t xml:space="preserve"> НЛМК Сибирь», ООО «АБФ Логистик» и др.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 6 месяцев текущего года снижение в отрасли составило 12,8%. Снижение обусловлено сокращением объемов услуг сферы ЖКХ: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сбор, обработка и утилизация отходов; обработка вторичного сырья на 26,5%;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забор, очистка и распределение воды на 3,7%.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коммунальной сфере Томской области основными проблемами являются высокий уровень физического и морального износа основных фондов, а также отсутствие у отраслевых организаций достаточного объема финансовых ресурсов для их обновления.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Согласно официальным данным </w:t>
      </w:r>
      <w:r>
        <w:rPr>
          <w:rFonts w:ascii="PT Astra Serif" w:hAnsi="PT Astra Serif"/>
          <w:sz w:val="26"/>
          <w:szCs w:val="26"/>
        </w:rPr>
        <w:t xml:space="preserve">Томскстата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на конец</w:t>
      </w:r>
      <w:r>
        <w:rPr>
          <w:rFonts w:ascii="PT Astra Serif" w:hAnsi="PT Astra Serif"/>
          <w:sz w:val="26"/>
          <w:szCs w:val="26"/>
        </w:rPr>
        <w:t xml:space="preserve"> 2025 года подлежали замене 43,2% водопроводных сетей и 52,1% канализационных сетей. Следствием этого выступают значительные потери коммунальных ресурсов, доли которых в среднем по Томской области </w:t>
      </w:r>
      <w:r>
        <w:rPr>
          <w:rFonts w:ascii="PT Astra Serif" w:hAnsi="PT Astra Serif"/>
          <w:sz w:val="26"/>
          <w:szCs w:val="26"/>
        </w:rPr>
        <w:t xml:space="preserve">на конец</w:t>
      </w:r>
      <w:r>
        <w:rPr>
          <w:rFonts w:ascii="PT Astra Serif" w:hAnsi="PT Astra Serif"/>
          <w:sz w:val="26"/>
          <w:szCs w:val="26"/>
        </w:rPr>
        <w:t xml:space="preserve"> 2025 года по холодному водоснабжению по информации Департамента ЖКХ и государственного жилищного надзора Томской области составляли 27,6%.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Для устойчивого развития жилищно-коммунального комплекса на среднесрочную перспективу запланирован следующий комплекс мер: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реализация подпрограммы (направления) «Развитие и модернизация коммунальной инфраструктуры Томской области» государственной программы </w:t>
      </w:r>
      <w:r>
        <w:rPr>
          <w:rFonts w:ascii="PT Astra Serif" w:hAnsi="PT Astra Serif"/>
          <w:sz w:val="26"/>
          <w:szCs w:val="26"/>
        </w:rPr>
        <w:t xml:space="preserve">«Развитие коммунальной инфраструктуры в Томской области» (утв. постановлением Администрации Томской области от 27.09.2019 № 346а);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продолжение реализации региональной программы капитального ремонта общего имущества в многоквартирных домах, расположенных на территории Томской области;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реализация комплекса процессных мероприятий «Обеспечение деятельности фонда «Региональный фонд капитального ремонта многоквартирных домов Томской области»;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реализация концессионных соглашений в отношении объектов систем теплоснабжения, водоснабжения и водоотведения;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реализация федерального проекта «Модернизация коммунальной инфраструктуры» национального проекта «Инфраструктура для жизни»;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– реализация инфраструктурных проектов.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рамках государственной программы «Охрана окружающей среды, воспроизводство и рациональное использование природных ресурсов» реализовано мероприятие по строительству автоматизированного мусоросортировочного комплекса (</w:t>
      </w:r>
      <w:r>
        <w:rPr>
          <w:rFonts w:ascii="PT Astra Serif" w:hAnsi="PT Astra Serif"/>
          <w:sz w:val="26"/>
          <w:szCs w:val="26"/>
        </w:rPr>
        <w:t xml:space="preserve">введен</w:t>
      </w:r>
      <w:r>
        <w:rPr>
          <w:rFonts w:ascii="PT Astra Serif" w:hAnsi="PT Astra Serif"/>
          <w:sz w:val="26"/>
          <w:szCs w:val="26"/>
        </w:rPr>
        <w:t xml:space="preserve"> в эксплуатацию в 2025 году). Созданный объект позволит обеспечить обработкой не менее 230 тыс. тонн отходов в год и не менее 50 % из них направить на утилизацию.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Кроме того, в соответствии с Федеральным законом от 10.01.2002 № 7-ФЗ «Об охране окружающей среды» с 2022 года стало возможным использование платы за негативное воздействие на окружающую среду, поступающую в бюджеты бюджетной системы Российской Феде</w:t>
      </w:r>
      <w:r>
        <w:rPr>
          <w:rFonts w:ascii="PT Astra Serif" w:hAnsi="PT Astra Serif"/>
          <w:sz w:val="26"/>
          <w:szCs w:val="26"/>
        </w:rPr>
        <w:t xml:space="preserve">рации, для реализации мероприятий в области охраны окружающей среды, в частности ликвидации мест несанкционированного складирования отходов. Таким образом, ежегодно органами местного самоуправления будут проводиться работы по ликвидации вышеуказанных мест.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На фоне текущей отрицательной динамики ИПП оценка по итогам 2026 года прогнозируется на уровне 95,6%. В среднесрочной перспективе до 2029 года в базовом варианте темп роста 101,8% - 102,5%, в консервативном – 100,4% - 101%, в целевом  - 102,1% – 102,8%.</w:t>
      </w:r>
      <w:r>
        <w:rPr>
          <w:rFonts w:ascii="PT Astra Serif" w:hAnsi="PT Astra Serif"/>
          <w:sz w:val="26"/>
          <w:szCs w:val="26"/>
        </w:rPr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4.3. Сельское хозяйство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1033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  <w:highlight w:val="white"/>
          <w:lang w:eastAsia="ru-RU"/>
        </w:rPr>
        <w:t xml:space="preserve">В настоящее время агро</w:t>
      </w:r>
      <w:r>
        <w:rPr>
          <w:rFonts w:ascii="PT Astra Serif" w:hAnsi="PT Astra Serif" w:eastAsia="PT Astra Serif" w:cs="PT Astra Serif"/>
          <w:sz w:val="26"/>
          <w:szCs w:val="26"/>
          <w:highlight w:val="white"/>
          <w:lang w:eastAsia="ru-RU"/>
        </w:rPr>
        <w:t xml:space="preserve">промышленный комплекс Томской области является одним из локомотивов развития экономики и имеет ключевое значение для обеспечения продовольственной безопасности региона. При этом доля сельского хозяйства в структуре ВРП Томской области составляет около 3%-4%.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1033"/>
        <w:ind w:firstLine="709"/>
        <w:jc w:val="both"/>
        <w:rPr>
          <w:rFonts w:ascii="PT Astra Serif" w:hAnsi="PT Astra Serif"/>
          <w:bCs/>
          <w:i/>
          <w:color w:val="000000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  <w:highlight w:val="white"/>
          <w:lang w:eastAsia="ru-RU"/>
        </w:rPr>
        <w:t xml:space="preserve">Комплекс мероприятий по государственной поддержке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сельскохозяйственных товаропроизводителей позволил в 2025 году обеспечить положительную динамику объема производства сельскохозяйственной продукции. В</w:t>
      </w:r>
      <w:r>
        <w:rPr>
          <w:rFonts w:ascii="PT Astra Serif" w:hAnsi="PT Astra Serif"/>
          <w:color w:val="000000"/>
          <w:sz w:val="26"/>
          <w:szCs w:val="26"/>
          <w:highlight w:val="white"/>
        </w:rPr>
        <w:t xml:space="preserve">ыпуск продукции сельского хозяйства Томской области составил 50 </w:t>
      </w:r>
      <w:r>
        <w:rPr>
          <w:rFonts w:ascii="PT Astra Serif" w:hAnsi="PT Astra Serif"/>
          <w:color w:val="000000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color w:val="000000"/>
          <w:sz w:val="26"/>
          <w:szCs w:val="26"/>
          <w:highlight w:val="white"/>
        </w:rPr>
        <w:t xml:space="preserve"> рублей, и в сопоставимых ценах по сравнению с 2024 годом его объем увеличился на 4,5%. </w:t>
      </w:r>
      <w:r>
        <w:rPr>
          <w:rFonts w:ascii="PT Astra Serif" w:hAnsi="PT Astra Serif"/>
          <w:i/>
          <w:color w:val="000000"/>
          <w:sz w:val="26"/>
          <w:szCs w:val="26"/>
          <w:highlight w:val="white"/>
        </w:rPr>
        <w:t xml:space="preserve">(По России ИФО составил 104,9%).</w:t>
      </w:r>
      <w:r>
        <w:rPr>
          <w:rFonts w:ascii="PT Astra Serif" w:hAnsi="PT Astra Serif"/>
          <w:bCs/>
          <w:i/>
          <w:color w:val="000000"/>
          <w:sz w:val="28"/>
          <w:szCs w:val="28"/>
          <w:highlight w:val="white"/>
        </w:rPr>
      </w:r>
      <w:r>
        <w:rPr>
          <w:rFonts w:ascii="PT Astra Serif" w:hAnsi="PT Astra Serif"/>
          <w:bCs/>
          <w:i/>
          <w:color w:val="000000"/>
          <w:sz w:val="28"/>
          <w:szCs w:val="28"/>
          <w:highlight w:val="white"/>
        </w:rPr>
      </w:r>
    </w:p>
    <w:p>
      <w:pPr>
        <w:pStyle w:val="1033"/>
        <w:ind w:firstLine="709"/>
        <w:jc w:val="both"/>
        <w:rPr>
          <w:rFonts w:ascii="PT Astra Serif" w:hAnsi="PT Astra Serif" w:eastAsia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В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растениеводстве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, в течение всего вегетативного 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езона 2025 года наблюдал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ись благоприятные погодные условия. Кроме того, благодаря техническому переоснащению сельскохозяйственной техники и оборудованию, а также внесению минеральных удобрений аграриям региона удалось качественно провести весь комплекс агротехнологических работ.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результате</w:t>
      </w:r>
      <w:r>
        <w:rPr>
          <w:rFonts w:ascii="PT Astra Serif" w:hAnsi="PT Astra Serif"/>
          <w:sz w:val="26"/>
          <w:szCs w:val="26"/>
        </w:rPr>
        <w:t xml:space="preserve"> в 2025 году валовой сбор зерновых и зернобобовых культур составил 360,5 тыс. тонн</w:t>
      </w:r>
      <w:r>
        <w:rPr>
          <w:rFonts w:ascii="PT Astra Serif" w:hAnsi="PT Astra Serif"/>
          <w:sz w:val="26"/>
          <w:szCs w:val="26"/>
        </w:rPr>
        <w:t xml:space="preserve"> (127,5% к уровню 2024 года), картофеля собрано 99,7 тыс. тонн (110,4% к уровню 2024 года). При этом производство овощей составило 40,4 тыс. тонн (95,2% к уровню 2024 года) в связи со снижением размера посевных площадей в хозяйствах всех категорий на 10%.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По итогам 2025 года ИФО производства растениеводческой продукции составил 114,6%.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Вместе с тем основное влияние на выпуск продукции сельского хозяйства оказывает животноводство (70% от общего объема), где существенную долю занимает производство </w:t>
      </w:r>
      <w:r>
        <w:rPr>
          <w:rFonts w:ascii="PT Astra Serif" w:hAnsi="PT Astra Serif"/>
          <w:color w:val="000000"/>
          <w:sz w:val="26"/>
          <w:szCs w:val="26"/>
        </w:rPr>
        <w:t xml:space="preserve">скота и птицы на убой в живом весе</w:t>
      </w:r>
      <w:r>
        <w:rPr>
          <w:rFonts w:ascii="PT Astra Serif" w:hAnsi="PT Astra Serif"/>
          <w:sz w:val="26"/>
          <w:szCs w:val="26"/>
        </w:rPr>
        <w:t xml:space="preserve"> (Рис.12).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lang w:eastAsia="ru-RU"/>
        </w:rPr>
      </w:r>
      <w:r>
        <w:rPr>
          <w:rFonts w:ascii="PT Astra Serif" w:hAnsi="PT Astra Serif"/>
          <w:sz w:val="26"/>
          <w:szCs w:val="26"/>
        </w:rPr>
        <w:t xml:space="preserve">В 2025 году ИФО продукции животноводства составил 100,9% в связи с увеличением п</w:t>
      </w:r>
      <w:r>
        <w:rPr>
          <w:rFonts w:ascii="PT Astra Serif" w:hAnsi="PT Astra Serif"/>
          <w:color w:val="000000"/>
          <w:sz w:val="26"/>
          <w:szCs w:val="26"/>
        </w:rPr>
        <w:t xml:space="preserve">роизводства мяса (скота и птицы на убой в живом весе) к 2024 году </w:t>
      </w:r>
      <w:r>
        <w:rPr>
          <w:rFonts w:ascii="PT Astra Serif" w:hAnsi="PT Astra Serif"/>
          <w:sz w:val="26"/>
          <w:szCs w:val="26"/>
        </w:rPr>
        <w:t xml:space="preserve">на 0,2% за счет наращивания объемов производства мяса птицы в сельскохозяйственных организациях (далее – СХО), где производится около 90% всего мяса в регионе, на 2,6%. Рост обеспечен за счет увеличения поголовья птицы на 7,1%, а также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cs="Arial"/>
          <w:color w:val="000000"/>
          <w:sz w:val="26"/>
          <w:szCs w:val="26"/>
        </w:rPr>
        <w:t xml:space="preserve">улучшения микроклиматических условий содержания животных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cs="Calibri"/>
          <w:sz w:val="26"/>
          <w:szCs w:val="26"/>
        </w:rPr>
        <w:t xml:space="preserve">и модернизации производственных мощностей.</w:t>
      </w:r>
      <w:r>
        <w:rPr>
          <w:rFonts w:ascii="PT Astra Serif" w:hAnsi="PT Astra Serif" w:cs="Calibri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Производство</w:t>
      </w:r>
      <w:r>
        <w:rPr>
          <w:rFonts w:ascii="PT Astra Serif" w:hAnsi="PT Astra Serif"/>
          <w:b/>
          <w:sz w:val="26"/>
          <w:szCs w:val="26"/>
          <w:highlight w:val="white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молока к уровню 2024 года увеличилось на 2,6%</w:t>
      </w:r>
      <w:r>
        <w:rPr>
          <w:rFonts w:ascii="PT Astra Serif" w:hAnsi="PT Astra Serif"/>
          <w:b/>
          <w:sz w:val="26"/>
          <w:szCs w:val="26"/>
          <w:highlight w:val="white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за счет повышения продуктивности молочного скота в СХО, а также вводом в эксплуатацию нового животноводческого комплекса молочного направления на базе ООО «</w:t>
      </w:r>
      <w:r>
        <w:rPr>
          <w:rFonts w:ascii="PT Astra Serif" w:hAnsi="PT Astra Serif"/>
          <w:sz w:val="26"/>
          <w:szCs w:val="26"/>
          <w:highlight w:val="white"/>
        </w:rPr>
        <w:t xml:space="preserve">Большедороховское</w:t>
      </w:r>
      <w:r>
        <w:rPr>
          <w:rFonts w:ascii="PT Astra Serif" w:hAnsi="PT Astra Serif"/>
          <w:sz w:val="26"/>
          <w:szCs w:val="26"/>
          <w:highlight w:val="white"/>
        </w:rPr>
        <w:t xml:space="preserve"> молоко» в Асиновском районе. За 2025 год </w:t>
      </w:r>
      <w:r>
        <w:rPr>
          <w:rFonts w:ascii="PT Astra Serif" w:hAnsi="PT Astra Serif"/>
          <w:iCs/>
          <w:sz w:val="26"/>
          <w:szCs w:val="26"/>
          <w:highlight w:val="white"/>
        </w:rPr>
        <w:t xml:space="preserve">надой молока на </w:t>
      </w:r>
      <w:r>
        <w:rPr>
          <w:rFonts w:ascii="PT Astra Serif" w:hAnsi="PT Astra Serif"/>
          <w:iCs/>
          <w:sz w:val="26"/>
          <w:szCs w:val="26"/>
        </w:rPr>
        <w:t xml:space="preserve">одну корову в крупных, средних и малых сельскохозяйственных организациях составил </w:t>
      </w:r>
      <w:r>
        <w:rPr>
          <w:rFonts w:ascii="PT Astra Serif" w:hAnsi="PT Astra Serif"/>
          <w:b/>
          <w:iCs/>
          <w:sz w:val="26"/>
          <w:szCs w:val="26"/>
        </w:rPr>
        <w:t xml:space="preserve"> </w:t>
      </w:r>
      <w:r>
        <w:rPr>
          <w:rFonts w:ascii="PT Astra Serif" w:hAnsi="PT Astra Serif"/>
          <w:iCs/>
          <w:sz w:val="26"/>
          <w:szCs w:val="26"/>
        </w:rPr>
        <w:t xml:space="preserve">8 353 </w:t>
      </w:r>
      <w:r>
        <w:rPr>
          <w:rFonts w:ascii="PT Astra Serif" w:hAnsi="PT Astra Serif"/>
          <w:iCs/>
          <w:sz w:val="26"/>
          <w:szCs w:val="26"/>
        </w:rPr>
        <w:t xml:space="preserve">кг, что на 6,7% выше, чем за аналогичный период 2024 года. </w:t>
      </w:r>
      <w:r>
        <w:rPr>
          <w:rFonts w:ascii="PT Astra Serif" w:hAnsi="PT Astra Serif"/>
          <w:i/>
          <w:sz w:val="26"/>
          <w:szCs w:val="26"/>
        </w:rPr>
        <w:t xml:space="preserve">(Примечание:</w:t>
      </w:r>
      <w:r>
        <w:rPr>
          <w:rFonts w:ascii="PT Astra Serif" w:hAnsi="PT Astra Serif"/>
          <w:i/>
          <w:sz w:val="26"/>
          <w:szCs w:val="26"/>
          <w:highlight w:val="white"/>
        </w:rPr>
        <w:t xml:space="preserve"> в СХО производится более 65% всего молока в регионе).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6"/>
          <w:szCs w:val="26"/>
        </w:rPr>
        <w:t xml:space="preserve">Лидирующие позиции в Томской области по надоям принадлежат предприятиям – ООО «</w:t>
      </w:r>
      <w:r>
        <w:rPr>
          <w:rFonts w:ascii="PT Astra Serif" w:hAnsi="PT Astra Serif" w:cs="Times New Roman"/>
          <w:sz w:val="26"/>
          <w:szCs w:val="26"/>
        </w:rPr>
        <w:t xml:space="preserve">Большедороховское</w:t>
      </w:r>
      <w:r>
        <w:rPr>
          <w:rFonts w:ascii="PT Astra Serif" w:hAnsi="PT Astra Serif" w:cs="Times New Roman"/>
          <w:sz w:val="26"/>
          <w:szCs w:val="26"/>
        </w:rPr>
        <w:t xml:space="preserve"> молоко», ООО «Сибирское молоко», СПК «</w:t>
      </w:r>
      <w:r>
        <w:rPr>
          <w:rFonts w:ascii="PT Astra Serif" w:hAnsi="PT Astra Serif" w:cs="Times New Roman"/>
          <w:sz w:val="26"/>
          <w:szCs w:val="26"/>
        </w:rPr>
        <w:t xml:space="preserve">Межениновский</w:t>
      </w:r>
      <w:r>
        <w:rPr>
          <w:rFonts w:ascii="PT Astra Serif" w:hAnsi="PT Astra Serif" w:cs="Times New Roman"/>
          <w:sz w:val="26"/>
          <w:szCs w:val="26"/>
        </w:rPr>
        <w:t xml:space="preserve">», ООО «КХ </w:t>
      </w:r>
      <w:r>
        <w:rPr>
          <w:rFonts w:ascii="PT Astra Serif" w:hAnsi="PT Astra Serif" w:cs="Times New Roman"/>
          <w:sz w:val="26"/>
          <w:szCs w:val="26"/>
        </w:rPr>
        <w:t xml:space="preserve">Куендат</w:t>
      </w:r>
      <w:r>
        <w:rPr>
          <w:rFonts w:ascii="PT Astra Serif" w:hAnsi="PT Astra Serif" w:cs="Times New Roman"/>
          <w:sz w:val="26"/>
          <w:szCs w:val="26"/>
        </w:rPr>
        <w:t xml:space="preserve">»,  СПК «</w:t>
      </w:r>
      <w:r>
        <w:rPr>
          <w:rFonts w:ascii="PT Astra Serif" w:hAnsi="PT Astra Serif" w:cs="Times New Roman"/>
          <w:sz w:val="26"/>
          <w:szCs w:val="26"/>
        </w:rPr>
        <w:t xml:space="preserve">Белосток</w:t>
      </w:r>
      <w:r>
        <w:rPr>
          <w:rFonts w:ascii="PT Astra Serif" w:hAnsi="PT Astra Serif" w:cs="Times New Roman"/>
          <w:sz w:val="26"/>
          <w:szCs w:val="26"/>
        </w:rPr>
        <w:t xml:space="preserve">»</w:t>
      </w:r>
      <w:r>
        <w:rPr>
          <w:rFonts w:ascii="PT Astra Serif" w:hAnsi="PT Astra Serif" w:cs="Times New Roman"/>
          <w:sz w:val="26"/>
          <w:szCs w:val="26"/>
        </w:rPr>
        <w:t xml:space="preserve"> 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 w:eastAsia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При этом производство яиц в регионе за 2025 год к уро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вню 2024 года снизилось на 1,4%</w:t>
      </w:r>
      <w:r>
        <w:rPr>
          <w:rFonts w:ascii="PT Astra Serif" w:hAnsi="PT Astra Serif" w:eastAsia="PT Astra Serif" w:cs="PT Astra Serif"/>
          <w:b/>
          <w:sz w:val="26"/>
          <w:szCs w:val="26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в связи с сокращением объемов производства у основного производителя данной продукц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ии ООО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 «Птицефабрика «Томская», входящего в структуру АО «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Сибагро</w:t>
      </w:r>
      <w:r>
        <w:rPr>
          <w:rFonts w:ascii="PT Astra Serif" w:hAnsi="PT Astra Serif" w:eastAsia="PT Astra Serif" w:cs="PT Astra Serif"/>
          <w:sz w:val="26"/>
          <w:szCs w:val="26"/>
          <w:highlight w:val="white"/>
        </w:rPr>
        <w:t xml:space="preserve">», по причине обновления поголовья кур-несушек и изменения технологии содержания птицы.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  <w:highlight w:val="yellow"/>
        </w:rPr>
        <w:outlineLvl w:val="0"/>
      </w:pPr>
      <w:r>
        <w:rPr>
          <w:rFonts w:ascii="PT Astra Serif" w:hAnsi="PT Astra Serif"/>
          <w:sz w:val="26"/>
          <w:szCs w:val="26"/>
        </w:rPr>
        <w:t xml:space="preserve">По итогам 1 полугодия 2026 года в сфере </w:t>
      </w:r>
      <w:r>
        <w:rPr>
          <w:rFonts w:ascii="PT Astra Serif" w:hAnsi="PT Astra Serif"/>
          <w:bCs/>
          <w:sz w:val="26"/>
          <w:szCs w:val="26"/>
        </w:rPr>
        <w:t xml:space="preserve">сельского хозяйства</w:t>
      </w:r>
      <w:r>
        <w:rPr>
          <w:rFonts w:ascii="PT Astra Serif" w:hAnsi="PT Astra Serif"/>
          <w:sz w:val="26"/>
          <w:szCs w:val="26"/>
        </w:rPr>
        <w:t xml:space="preserve"> сохраняется положительная динамика производства (ИФО продукции составил 103% к аналогичному периоду 2025 года) за счет </w:t>
      </w:r>
      <w:r>
        <w:rPr>
          <w:rFonts w:ascii="PT Astra Serif" w:hAnsi="PT Astra Serif"/>
          <w:sz w:val="26"/>
          <w:szCs w:val="26"/>
        </w:rPr>
        <w:t xml:space="preserve">роста</w:t>
      </w:r>
      <w:r>
        <w:rPr>
          <w:rFonts w:ascii="PT Astra Serif" w:hAnsi="PT Astra Serif"/>
          <w:bCs/>
          <w:sz w:val="26"/>
          <w:szCs w:val="26"/>
        </w:rPr>
        <w:t xml:space="preserve"> объемов </w:t>
      </w:r>
      <w:r>
        <w:rPr>
          <w:rFonts w:ascii="PT Astra Serif" w:hAnsi="PT Astra Serif"/>
          <w:sz w:val="26"/>
          <w:szCs w:val="26"/>
        </w:rPr>
        <w:t xml:space="preserve">производства основных видов животноводческой продукции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8"/>
          <w:szCs w:val="28"/>
          <w:highlight w:val="yellow"/>
        </w:rPr>
      </w:r>
      <w:r>
        <w:rPr>
          <w:rFonts w:ascii="PT Astra Serif" w:hAnsi="PT Astra Serif"/>
          <w:sz w:val="28"/>
          <w:szCs w:val="28"/>
          <w:highlight w:val="yellow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  <w:highlight w:val="yellow"/>
        </w:rPr>
        <w:outlineLvl w:val="0"/>
      </w:pPr>
      <w:r>
        <w:rPr>
          <w:rFonts w:ascii="PT Astra Serif" w:hAnsi="PT Astra Serif"/>
          <w:sz w:val="26"/>
          <w:szCs w:val="26"/>
        </w:rPr>
        <w:t xml:space="preserve">Производство </w:t>
      </w:r>
      <w:r>
        <w:rPr>
          <w:rFonts w:ascii="PT Astra Serif" w:hAnsi="PT Astra Serif"/>
          <w:sz w:val="26"/>
          <w:szCs w:val="26"/>
          <w:shd w:val="clear" w:color="auto" w:fill="ffffff"/>
        </w:rPr>
        <w:t xml:space="preserve">скота и птицы на убой в живом весе к уровню 2025 года увеличилось на 3,5% за счет наращивания объемов производства в СХО мяса птицы на 3,6% </w:t>
      </w:r>
      <w:r>
        <w:rPr>
          <w:rFonts w:ascii="PT Astra Serif" w:hAnsi="PT Astra Serif"/>
          <w:sz w:val="26"/>
          <w:szCs w:val="26"/>
          <w:highlight w:val="white"/>
        </w:rPr>
        <w:t xml:space="preserve">по причине улучшения рациона кормления животных, а также увеличения производства свинины на 7,2% за счет увеличения численности поголовья и среднесуточных привесов свиней на </w:t>
      </w:r>
      <w:r>
        <w:rPr>
          <w:rFonts w:ascii="PT Astra Serif" w:hAnsi="PT Astra Serif"/>
          <w:sz w:val="26"/>
          <w:szCs w:val="26"/>
          <w:highlight w:val="white"/>
        </w:rPr>
        <w:t xml:space="preserve">свинокомплексе</w:t>
      </w:r>
      <w:r>
        <w:rPr>
          <w:rFonts w:ascii="PT Astra Serif" w:hAnsi="PT Astra Serif"/>
          <w:sz w:val="26"/>
          <w:szCs w:val="26"/>
          <w:highlight w:val="white"/>
        </w:rPr>
        <w:t xml:space="preserve"> «Томский» АО «</w:t>
      </w:r>
      <w:r>
        <w:rPr>
          <w:rFonts w:ascii="PT Astra Serif" w:hAnsi="PT Astra Serif"/>
          <w:sz w:val="26"/>
          <w:szCs w:val="26"/>
          <w:highlight w:val="white"/>
        </w:rPr>
        <w:t xml:space="preserve">Сибагро</w:t>
      </w:r>
      <w:r>
        <w:rPr>
          <w:rFonts w:ascii="PT Astra Serif" w:hAnsi="PT Astra Serif"/>
          <w:sz w:val="26"/>
          <w:szCs w:val="26"/>
          <w:highlight w:val="white"/>
        </w:rPr>
        <w:t xml:space="preserve">». </w:t>
      </w:r>
      <w:r>
        <w:rPr>
          <w:rFonts w:ascii="PT Astra Serif" w:hAnsi="PT Astra Serif"/>
          <w:sz w:val="28"/>
          <w:szCs w:val="28"/>
          <w:highlight w:val="yellow"/>
        </w:rPr>
      </w:r>
      <w:r>
        <w:rPr>
          <w:rFonts w:ascii="PT Astra Serif" w:hAnsi="PT Astra Serif"/>
          <w:sz w:val="28"/>
          <w:szCs w:val="28"/>
          <w:highlight w:val="yellow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Рост производства молока на 14,3% связан с увеличением объемов его производства в СХО на 23,4% за счет наращивания мощностей по выпуску продукции на новом животноводческом комплексе молочного направления ООО «</w:t>
      </w:r>
      <w:r>
        <w:rPr>
          <w:rFonts w:ascii="PT Astra Serif" w:hAnsi="PT Astra Serif"/>
          <w:sz w:val="26"/>
          <w:szCs w:val="26"/>
        </w:rPr>
        <w:t xml:space="preserve">Болшедороховское</w:t>
      </w:r>
      <w:r>
        <w:rPr>
          <w:rFonts w:ascii="PT Astra Serif" w:hAnsi="PT Astra Serif"/>
          <w:sz w:val="26"/>
          <w:szCs w:val="26"/>
        </w:rPr>
        <w:t xml:space="preserve"> молоко».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6"/>
          <w:szCs w:val="26"/>
        </w:rPr>
        <w:t xml:space="preserve">При этом за январь-июнь 2026 года производство яиц к уровню 2025 года сократилось на 1,1% в связи продолжающимся обновлением поголовья птицы на птицефабрике «Томская» </w:t>
      </w:r>
      <w:r>
        <w:rPr>
          <w:rFonts w:ascii="PT Astra Serif" w:hAnsi="PT Astra Serif" w:cs="Arial"/>
          <w:sz w:val="26"/>
          <w:szCs w:val="26"/>
        </w:rPr>
        <w:t xml:space="preserve">в рамках реализации инвестиционного проекта по увеличению производства столового яйца, осуществляемого АО «</w:t>
      </w:r>
      <w:r>
        <w:rPr>
          <w:rFonts w:ascii="PT Astra Serif" w:hAnsi="PT Astra Serif" w:cs="Arial"/>
          <w:sz w:val="26"/>
          <w:szCs w:val="26"/>
        </w:rPr>
        <w:t xml:space="preserve">Сибагро</w:t>
      </w:r>
      <w:r>
        <w:rPr>
          <w:rFonts w:ascii="PT Astra Serif" w:hAnsi="PT Astra Serif" w:cs="Arial"/>
          <w:sz w:val="26"/>
          <w:szCs w:val="26"/>
        </w:rPr>
        <w:t xml:space="preserve">».</w:t>
      </w:r>
      <w:r>
        <w:rPr>
          <w:rFonts w:ascii="PT Astra Serif" w:hAnsi="PT Astra Serif"/>
          <w:sz w:val="28"/>
          <w:szCs w:val="28"/>
          <w:highlight w:val="yellow"/>
        </w:rPr>
      </w:r>
      <w:r>
        <w:rPr>
          <w:rFonts w:ascii="PT Astra Serif" w:hAnsi="PT Astra Serif"/>
          <w:sz w:val="28"/>
          <w:szCs w:val="28"/>
          <w:highlight w:val="yellow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В 2026 году ожидается рост объемов производства продукции животноводства на 1,7% за счет увеличения производства свинины на </w:t>
      </w:r>
      <w:r>
        <w:rPr>
          <w:rFonts w:ascii="PT Astra Serif" w:hAnsi="PT Astra Serif"/>
          <w:sz w:val="26"/>
          <w:szCs w:val="26"/>
        </w:rPr>
        <w:t xml:space="preserve">свинокомплексе</w:t>
      </w:r>
      <w:r>
        <w:rPr>
          <w:rFonts w:ascii="PT Astra Serif" w:hAnsi="PT Astra Serif"/>
          <w:sz w:val="26"/>
          <w:szCs w:val="26"/>
        </w:rPr>
        <w:t xml:space="preserve"> «Томский» АО «</w:t>
      </w:r>
      <w:r>
        <w:rPr>
          <w:rFonts w:ascii="PT Astra Serif" w:hAnsi="PT Astra Serif"/>
          <w:sz w:val="26"/>
          <w:szCs w:val="26"/>
        </w:rPr>
        <w:t xml:space="preserve">Сибагро</w:t>
      </w:r>
      <w:r>
        <w:rPr>
          <w:rFonts w:ascii="PT Astra Serif" w:hAnsi="PT Astra Serif"/>
          <w:sz w:val="26"/>
          <w:szCs w:val="26"/>
        </w:rPr>
        <w:t xml:space="preserve">», стабильных объемов производства мяса птицы в ООО «</w:t>
      </w:r>
      <w:r>
        <w:rPr>
          <w:rFonts w:ascii="PT Astra Serif" w:hAnsi="PT Astra Serif"/>
          <w:sz w:val="26"/>
          <w:szCs w:val="26"/>
        </w:rPr>
        <w:t xml:space="preserve">Межениновская</w:t>
      </w:r>
      <w:r>
        <w:rPr>
          <w:rFonts w:ascii="PT Astra Serif" w:hAnsi="PT Astra Serif"/>
          <w:sz w:val="26"/>
          <w:szCs w:val="26"/>
        </w:rPr>
        <w:t xml:space="preserve"> птицефабрика» и на птицефабрике «Томская», а также наращивания объемов производства молока в СХО.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color w:val="000000"/>
          <w:sz w:val="28"/>
          <w:szCs w:val="28"/>
        </w:rPr>
        <w:outlineLvl w:val="0"/>
      </w:pPr>
      <w:r>
        <w:rPr>
          <w:rFonts w:ascii="PT Astra Serif" w:hAnsi="PT Astra Serif"/>
          <w:color w:val="000000"/>
          <w:sz w:val="26"/>
          <w:szCs w:val="26"/>
        </w:rPr>
        <w:t xml:space="preserve">Вместе с тем в растениеводстве при проведении посевной кампании 2026 года произошло изменение структуры посевных площадей и переориентирование аграриев с производства зерновых и зернобобовых культур на </w:t>
      </w:r>
      <w:r>
        <w:rPr>
          <w:rFonts w:ascii="PT Astra Serif" w:hAnsi="PT Astra Serif"/>
          <w:color w:val="000000"/>
          <w:sz w:val="26"/>
          <w:szCs w:val="26"/>
        </w:rPr>
        <w:t xml:space="preserve">высокомаржинальные</w:t>
      </w:r>
      <w:r>
        <w:rPr>
          <w:rFonts w:ascii="PT Astra Serif" w:hAnsi="PT Astra Serif"/>
          <w:color w:val="000000"/>
          <w:sz w:val="26"/>
          <w:szCs w:val="26"/>
        </w:rPr>
        <w:t xml:space="preserve"> масличные культуры. </w:t>
      </w:r>
      <w:r>
        <w:rPr>
          <w:rFonts w:ascii="PT Astra Serif" w:hAnsi="PT Astra Serif"/>
          <w:color w:val="000000"/>
          <w:sz w:val="28"/>
          <w:szCs w:val="28"/>
        </w:rPr>
      </w: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color w:val="000000"/>
        </w:rPr>
        <w:outlineLvl w:val="0"/>
      </w:pPr>
      <w:r>
        <w:rPr>
          <w:rFonts w:ascii="PT Astra Serif" w:hAnsi="PT Astra Serif"/>
          <w:color w:val="000000"/>
          <w:sz w:val="26"/>
          <w:szCs w:val="26"/>
        </w:rPr>
        <w:t xml:space="preserve">В связи с этим по итогам 2026 года ожидается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снижение к ур</w:t>
      </w:r>
      <w:r>
        <w:rPr>
          <w:rFonts w:ascii="PT Astra Serif" w:hAnsi="PT Astra Serif"/>
          <w:sz w:val="26"/>
          <w:szCs w:val="26"/>
        </w:rPr>
        <w:t xml:space="preserve">овню 2025 года валового сбора зерновых и зернобобовых культур на 11,2%, при росте производства семян и плодов масличных культур на 14,9%. </w:t>
      </w:r>
      <w:r>
        <w:rPr>
          <w:rFonts w:ascii="PT Astra Serif" w:hAnsi="PT Astra Serif"/>
          <w:color w:val="000000"/>
        </w:rPr>
      </w:r>
      <w:r>
        <w:rPr>
          <w:rFonts w:ascii="PT Astra Serif" w:hAnsi="PT Astra Serif"/>
          <w:color w:val="000000"/>
        </w:rPr>
      </w:r>
    </w:p>
    <w:p>
      <w:pPr>
        <w:pStyle w:val="1033"/>
        <w:ind w:firstLine="709"/>
        <w:jc w:val="both"/>
        <w:rPr>
          <w:rFonts w:ascii="PT Astra Serif" w:hAnsi="PT Astra Serif" w:cs="PT Astra Serif"/>
          <w:color w:val="ff0000"/>
          <w:sz w:val="28"/>
          <w:szCs w:val="28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Производство карт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офеля и овощей в 2026 году прогнозируется с небольшим снижением к 2025 году (97,6% и 99% соответственно). Существенным сдерживающим фактором в данном случае выступает сосредоточенность производства указанных культур в личных подсобных хозяйствах населения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и соответствующее ограничение возможностей интенсификации производства, при сохранении размера посевных площадей под урожай 2026 года в СХО </w:t>
      </w:r>
      <w:r>
        <w:rPr>
          <w:rFonts w:ascii="PT Astra Serif" w:hAnsi="PT Astra Serif" w:eastAsia="PT Astra Serif" w:cs="PT Astra Serif"/>
          <w:sz w:val="26"/>
          <w:szCs w:val="26"/>
        </w:rPr>
        <w:br/>
        <w:t xml:space="preserve">и крестьянских (фермерских) хозяйствах  Томской области. </w:t>
      </w:r>
      <w:r>
        <w:rPr>
          <w:rFonts w:ascii="PT Astra Serif" w:hAnsi="PT Astra Serif" w:cs="PT Astra Serif"/>
          <w:color w:val="ff0000"/>
          <w:sz w:val="28"/>
          <w:szCs w:val="28"/>
        </w:rPr>
      </w:r>
      <w:r>
        <w:rPr>
          <w:rFonts w:ascii="PT Astra Serif" w:hAnsi="PT Astra Serif" w:cs="PT Astra Serif"/>
          <w:color w:val="ff0000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 w:cs="PT Astra Serif"/>
        </w:rPr>
        <w:outlineLvl w:val="0"/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 учетом высокой базы 2025 года по растениеводству (114,6%) индекс физического объема растениеводческой продукции в 2026 году оценивается в размере 96,9% к предыдущему году.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итоге в 2026 году выпуск продукции сельского хозяйства в Томской области ожидается в размере 52,5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млрд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рублей, в сопоставимых ценах – 100,3% (по России – 98,6%). 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029"/>
        <w:ind w:firstLine="709"/>
        <w:jc w:val="both"/>
        <w:spacing w:line="288" w:lineRule="atLeas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В среднесрочной перспективе основные направления развития сельского хозяйства Томской области рассмотрены исходя из существующих мер государственной поддержки сельскохозяйст</w:t>
      </w:r>
      <w:r>
        <w:rPr>
          <w:rFonts w:ascii="PT Astra Serif" w:hAnsi="PT Astra Serif"/>
          <w:sz w:val="26"/>
          <w:szCs w:val="26"/>
        </w:rPr>
        <w:t xml:space="preserve">венной отрасли, в рамках действующих федеральных и региональных программ, а также планируемых к реализации в рассматриваемом прогнозном периоде инвестиционных проектов в целях достижения целевых показателей и задач, определенных в Указе № 309, и Стратегии.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6"/>
          <w:szCs w:val="26"/>
        </w:rPr>
        <w:t xml:space="preserve">Перспективным направлением развития сельскохозяйственных предприятий Томской области будет являться повышение производительности труда, которое возможно за счет совершенствования их технико-технологического потенциала агропредприятий, </w:t>
      </w:r>
      <w:r>
        <w:rPr>
          <w:rFonts w:ascii="PT Astra Serif" w:hAnsi="PT Astra Serif"/>
          <w:sz w:val="26"/>
          <w:szCs w:val="26"/>
        </w:rPr>
        <w:t xml:space="preserve">повышения плодородия земель сельскохозяйственного назначения, роста продуктивности животных и урожайности сельскохозяйственных культур, а также привлечения на производство квалифицированных специалистов по работе с современным оборудованием и технологиями.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Кроме того, динамика основных показателей развития АПК Томской области в 2027 году и в плановый период 2028 – 2029 годов будет зависеть от природно-климатических условий и развития внутренней конъюнктуры аграрных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рынков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в условиях нарастающего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санкционного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давления недружественных стран и продолжающейся СВО. 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/>
          <w:b/>
          <w:i/>
          <w:color w:val="000000" w:themeColor="text1"/>
          <w:sz w:val="26"/>
          <w:szCs w:val="26"/>
        </w:rPr>
        <w:t xml:space="preserve">В животноводстве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среднесрочном периоде прогнозируется наращивание производства мяса за счет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эффективной инвестиционной политики АО «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Сибагро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», осуществляющего финансовые вложения в модернизацию производственных площадей и оборудования на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свинокомплексе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«Томский» и птицефабрике «Томская», которые в перспективе будут улучшать технологические процессы по производству продукции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  <w:t xml:space="preserve"> В </w:t>
      </w:r>
      <w:r>
        <w:rPr>
          <w:rFonts w:ascii="PT Astra Serif" w:hAnsi="PT Astra Serif"/>
          <w:sz w:val="26"/>
          <w:szCs w:val="26"/>
        </w:rPr>
        <w:t xml:space="preserve">результате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 w:cs="Calibri"/>
          <w:sz w:val="26"/>
          <w:szCs w:val="26"/>
        </w:rPr>
        <w:t xml:space="preserve">к 2029 году ожидается, что производство скота и птицы на убой </w:t>
      </w:r>
      <w:r>
        <w:rPr>
          <w:rFonts w:ascii="PT Astra Serif" w:hAnsi="PT Astra Serif"/>
          <w:sz w:val="26"/>
          <w:szCs w:val="26"/>
        </w:rPr>
        <w:t xml:space="preserve">к уровню 2025 года </w:t>
      </w:r>
      <w:r>
        <w:rPr>
          <w:rFonts w:ascii="PT Astra Serif" w:hAnsi="PT Astra Serif" w:cs="Calibri"/>
          <w:sz w:val="26"/>
          <w:szCs w:val="26"/>
        </w:rPr>
        <w:t xml:space="preserve">по базовому варианту увеличится на 8,2%, по целевому – на 11,9%. </w:t>
      </w:r>
      <w:r>
        <w:rPr>
          <w:rFonts w:ascii="PT Astra Serif" w:hAnsi="PT Astra Serif" w:cs="Calibri"/>
          <w:sz w:val="28"/>
          <w:szCs w:val="28"/>
        </w:rPr>
      </w:r>
      <w:r>
        <w:rPr>
          <w:rFonts w:ascii="PT Astra Serif" w:hAnsi="PT Astra Serif" w:cs="Calibri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eastAsia="Times New Roman"/>
          <w:sz w:val="26"/>
          <w:szCs w:val="26"/>
          <w:lang w:eastAsia="ru-RU"/>
        </w:rPr>
        <w:t xml:space="preserve">За счет </w:t>
      </w:r>
      <w:r>
        <w:rPr>
          <w:rFonts w:ascii="PT Astra Serif" w:hAnsi="PT Astra Serif"/>
          <w:sz w:val="26"/>
          <w:szCs w:val="26"/>
        </w:rPr>
        <w:t xml:space="preserve">эффективной работы по генетическому потенциалу животных, технологическому переоснащению оборудования животноводческих комплексов, заготовке кормов, поддержке племенного животноводства 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Томской области</w:t>
      </w:r>
      <w:r>
        <w:rPr>
          <w:rFonts w:ascii="PT Astra Serif" w:hAnsi="PT Astra Serif"/>
          <w:sz w:val="26"/>
          <w:szCs w:val="26"/>
        </w:rPr>
        <w:t xml:space="preserve"> сохранится положительная динамика по производству молока в сельскохозяйственных организациях.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Также в среднесрочном периоде наращиванию темпов роста производства продукции животноводства в регионе будет способствовать активная реализация инвестиционных проектов.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Сельскохозяйственными организациями региона запланирована реализация 2 перспективных инвестиционных проектов молочного направления 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Кривошеинском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и Томском районах.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Кроме того за счет выхода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 проектную мощность в 2027 году современного животноводческого комплекса молочного направления ООО «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Большедороховское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молоко» к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2029 году ожидается рост объемов производства молока к уровню 2025 года по базовому варианту на 9,7%, по целевому – на 14,6%</w:t>
      </w:r>
      <w:r>
        <w:rPr>
          <w:rFonts w:ascii="PT Astra Serif" w:hAnsi="PT Astra Serif"/>
          <w:sz w:val="26"/>
          <w:szCs w:val="26"/>
        </w:rPr>
        <w:t xml:space="preserve">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К 2027 году </w:t>
      </w:r>
      <w:r>
        <w:rPr>
          <w:rFonts w:ascii="PT Astra Serif" w:hAnsi="PT Astra Serif"/>
          <w:sz w:val="26"/>
          <w:szCs w:val="26"/>
        </w:rPr>
        <w:t xml:space="preserve">АО «</w:t>
      </w:r>
      <w:r>
        <w:rPr>
          <w:rFonts w:ascii="PT Astra Serif" w:hAnsi="PT Astra Serif"/>
          <w:sz w:val="26"/>
          <w:szCs w:val="26"/>
        </w:rPr>
        <w:t xml:space="preserve">Сибагро</w:t>
      </w:r>
      <w:r>
        <w:rPr>
          <w:rFonts w:ascii="PT Astra Serif" w:hAnsi="PT Astra Serif"/>
          <w:sz w:val="26"/>
          <w:szCs w:val="26"/>
        </w:rPr>
        <w:t xml:space="preserve">» планирует завершить реализацию проекта на птицефабрике «Томская» по наращиванию объемов производства столового яйца за счет увеличения оборачиваемости поголовья птицы. В </w:t>
      </w:r>
      <w:r>
        <w:rPr>
          <w:rFonts w:ascii="PT Astra Serif" w:hAnsi="PT Astra Serif"/>
          <w:sz w:val="26"/>
          <w:szCs w:val="26"/>
        </w:rPr>
        <w:t xml:space="preserve">результате</w:t>
      </w:r>
      <w:r>
        <w:rPr>
          <w:rFonts w:ascii="PT Astra Serif" w:hAnsi="PT Astra Serif"/>
          <w:sz w:val="26"/>
          <w:szCs w:val="26"/>
        </w:rPr>
        <w:t xml:space="preserve"> к 2029 году ожидается рост объемов производства яиц к уровню 2025 года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по базовому варианту на 17,3%, по целевому – на 25,8%.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033"/>
        <w:ind w:firstLine="709"/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В Томской области с 2026 года система мер поддержки малых форм хозяйствования, в которых производится около 20% животноводческой продукции, </w:t>
      </w: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претерпевает структурные изменения и расширяется за счет внедрения новых механизмов финансирования. Соответствующие мероприятия выделены в отдельный ведомственный проект «Поддержка малых форм хозяйствования».</w:t>
      </w:r>
      <w:r/>
    </w:p>
    <w:p>
      <w:pPr>
        <w:pStyle w:val="1033"/>
        <w:ind w:firstLine="709"/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В </w:t>
      </w: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рамках</w:t>
      </w: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 обновленной модели до 2028 года для сельскохозяйственных товаропроизводителей доступны следующие новые виды государственной поддержки:</w:t>
      </w:r>
      <w:r/>
    </w:p>
    <w:p>
      <w:pPr>
        <w:pStyle w:val="1033"/>
        <w:numPr>
          <w:ilvl w:val="0"/>
          <w:numId w:val="37"/>
        </w:numPr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грант на развитие крестьянских (фермерских) хозяйств;</w:t>
      </w:r>
      <w:r/>
    </w:p>
    <w:p>
      <w:pPr>
        <w:pStyle w:val="1033"/>
        <w:numPr>
          <w:ilvl w:val="0"/>
          <w:numId w:val="37"/>
        </w:numPr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грант «</w:t>
      </w: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Агромотиватор</w:t>
      </w: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» и грант для участников СВО;</w:t>
      </w:r>
      <w:r/>
    </w:p>
    <w:p>
      <w:pPr>
        <w:pStyle w:val="1033"/>
        <w:numPr>
          <w:ilvl w:val="0"/>
          <w:numId w:val="37"/>
        </w:numPr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субсидия на финансовое обеспечение части затрат крестьянских (фермерских) хозяйств;</w:t>
      </w:r>
      <w:r/>
    </w:p>
    <w:p>
      <w:pPr>
        <w:pStyle w:val="1033"/>
        <w:numPr>
          <w:ilvl w:val="0"/>
          <w:numId w:val="37"/>
        </w:numPr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субсидия сельскохозяйственным потребительским кооперативам;</w:t>
      </w:r>
      <w:r/>
    </w:p>
    <w:p>
      <w:pPr>
        <w:pStyle w:val="1033"/>
        <w:numPr>
          <w:ilvl w:val="0"/>
          <w:numId w:val="37"/>
        </w:numPr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субсидия на развитие сельского туризма.</w:t>
      </w:r>
      <w:r/>
    </w:p>
    <w:p>
      <w:pPr>
        <w:pStyle w:val="1033"/>
        <w:ind w:firstLine="709"/>
        <w:jc w:val="both"/>
      </w:pPr>
      <w:r>
        <w:rPr>
          <w:rFonts w:ascii="PT Astra Serif" w:hAnsi="PT Astra Serif" w:eastAsia="PT Astra Serif" w:cs="PT Astra Serif"/>
          <w:color w:val="0f1115"/>
          <w:sz w:val="26"/>
          <w:szCs w:val="26"/>
        </w:rPr>
        <w:t xml:space="preserve">Переход на новый ведомственный проект с 2026 года значительно расширил спектр мер поддержки, охватив все этапы развития малого агробизнеса — от создания индивидуального хозяйства до зрелого кооперативного взаимодействия.</w:t>
      </w:r>
      <w:r/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Таким образом, по расче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тным данным к концу 2029 года темп роста продукции животноводства к уровню 2025 года по консервативному варианту составит 100,7%, по базовому - 108,9%. По целевому варианту, за счет использования собственной племенной продукции для производства мяса птицы </w:t>
      </w:r>
      <w:r>
        <w:rPr>
          <w:rFonts w:ascii="PT Astra Serif" w:hAnsi="PT Astra Serif" w:cs="Calibri"/>
          <w:color w:val="000000"/>
          <w:sz w:val="26"/>
          <w:szCs w:val="26"/>
        </w:rPr>
        <w:t xml:space="preserve">с необходимыми производственными характеристиками, а также выходом на максимальные мощности новых и модернизированных комплексов молочного направления,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ожидается рост продукции животноводства к уровню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2025 года в размере 112,9%.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 w:eastAsia="Times New Roman"/>
          <w:color w:val="000000"/>
          <w:sz w:val="28"/>
          <w:szCs w:val="28"/>
        </w:rPr>
      </w:pPr>
      <w:r>
        <w:rPr>
          <w:rFonts w:ascii="PT Astra Serif" w:hAnsi="PT Astra Serif"/>
          <w:b/>
          <w:i/>
          <w:color w:val="000000" w:themeColor="text1"/>
          <w:sz w:val="26"/>
          <w:szCs w:val="26"/>
        </w:rPr>
        <w:t xml:space="preserve">В </w:t>
      </w:r>
      <w:r>
        <w:rPr>
          <w:rFonts w:ascii="PT Astra Serif" w:hAnsi="PT Astra Serif"/>
          <w:b/>
          <w:i/>
          <w:color w:val="000000" w:themeColor="text1"/>
          <w:sz w:val="26"/>
          <w:szCs w:val="26"/>
        </w:rPr>
        <w:t xml:space="preserve">растениеводстве</w:t>
      </w:r>
      <w:r>
        <w:rPr>
          <w:rFonts w:ascii="PT Astra Serif" w:hAnsi="PT Astra Serif"/>
          <w:color w:val="0070c0"/>
          <w:sz w:val="26"/>
          <w:szCs w:val="26"/>
        </w:rPr>
        <w:t xml:space="preserve"> 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передовой </w:t>
      </w:r>
      <w:r>
        <w:rPr>
          <w:rFonts w:ascii="PT Astra Serif" w:hAnsi="PT Astra Serif"/>
          <w:sz w:val="26"/>
          <w:szCs w:val="26"/>
        </w:rPr>
        <w:t xml:space="preserve">опыт по применению современных методов селекции культур, средств защиты растений, а также техническое оснащение АПК </w:t>
      </w:r>
      <w:r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позволили </w:t>
      </w:r>
      <w:r>
        <w:rPr>
          <w:rFonts w:ascii="PT Astra Serif" w:hAnsi="PT Astra Serif" w:eastAsia="Times New Roman"/>
          <w:color w:val="000000"/>
          <w:sz w:val="26"/>
          <w:szCs w:val="26"/>
          <w:lang w:eastAsia="ru-RU"/>
        </w:rPr>
        <w:t xml:space="preserve">томским земледельцам поднять растениеводство в Томской области на новый уровень. Структура производства продукции растениеводства представлена на рис. 13</w:t>
      </w:r>
      <w:r>
        <w:rPr>
          <w:rFonts w:ascii="PT Astra Serif" w:hAnsi="PT Astra Serif" w:eastAsia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Times New Roman"/>
          <w:color w:val="000000"/>
          <w:sz w:val="28"/>
          <w:szCs w:val="28"/>
        </w:rPr>
      </w:r>
      <w:r>
        <w:rPr>
          <w:rFonts w:ascii="PT Astra Serif" w:hAnsi="PT Astra Serif" w:eastAsia="Times New Roman"/>
          <w:color w:val="000000"/>
          <w:sz w:val="28"/>
          <w:szCs w:val="28"/>
        </w:rPr>
      </w:r>
    </w:p>
    <w:p>
      <w:pPr>
        <w:pStyle w:val="103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lang w:eastAsia="ru-RU"/>
        </w:rPr>
      </w:r>
      <w:r>
        <w:rPr>
          <w:rFonts w:ascii="PT Astra Serif" w:hAnsi="PT Astra Serif"/>
          <w:sz w:val="20"/>
          <w:szCs w:val="20"/>
          <w:lang w:eastAsia="ru-RU"/>
        </w:rPr>
        <w:drawing>
          <wp:anchor xmlns:wp="http://schemas.openxmlformats.org/drawingml/2006/wordprocessingDrawing" xmlns:wp14="http://schemas.microsoft.com/office/word/2010/wordprocessingDrawing" distT="0" distB="0" distL="114300" distR="114300" simplePos="0" relativeHeight="251646464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52070</wp:posOffset>
            </wp:positionV>
            <wp:extent cx="0" cy="0"/>
            <wp:effectExtent l="4762" t="4762" r="4762" b="4762"/>
            <wp:wrapSquare wrapText="bothSides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color w:val="000000"/>
          <w:sz w:val="26"/>
          <w:szCs w:val="26"/>
        </w:rPr>
        <w:t xml:space="preserve">При этом в прогнозном периоде динамика производства раст</w:t>
      </w:r>
      <w:r>
        <w:rPr>
          <w:rFonts w:ascii="PT Astra Serif" w:hAnsi="PT Astra Serif"/>
          <w:color w:val="000000"/>
          <w:sz w:val="26"/>
          <w:szCs w:val="26"/>
        </w:rPr>
        <w:t xml:space="preserve">ениеводческой продукции будет зависеть от возможности своевременного проведения полного комплекса агротехнических работ и погодных условий. Рост продукции растениеводства дополнительно будет обеспечен за счет проведения комплексного развития агрохолдинга «</w:t>
      </w:r>
      <w:r>
        <w:rPr>
          <w:rFonts w:ascii="PT Astra Serif" w:hAnsi="PT Astra Serif"/>
          <w:color w:val="000000"/>
          <w:sz w:val="26"/>
          <w:szCs w:val="26"/>
        </w:rPr>
        <w:t xml:space="preserve">Трубачево</w:t>
      </w:r>
      <w:r>
        <w:rPr>
          <w:rFonts w:ascii="PT Astra Serif" w:hAnsi="PT Astra Serif"/>
          <w:color w:val="000000"/>
          <w:sz w:val="26"/>
          <w:szCs w:val="26"/>
        </w:rPr>
        <w:t xml:space="preserve">», направленного на увеличение производства овощеводческой продукции, а также за счет закладки многолетних ягодных насаждений и развитие первичной переработки плодово-ягодных культур в Томском районе. </w:t>
      </w:r>
      <w:r>
        <w:rPr>
          <w:rFonts w:ascii="PT Astra Serif" w:hAnsi="PT Astra Serif"/>
          <w:sz w:val="26"/>
          <w:szCs w:val="26"/>
        </w:rPr>
        <w:t xml:space="preserve">Кроме этого наращивание растениеводческой продукции будет обеспечиваться за счет</w:t>
      </w:r>
      <w:r>
        <w:rPr>
          <w:rFonts w:ascii="PT Astra Serif" w:hAnsi="PT Astra Serif"/>
          <w:color w:val="000000"/>
          <w:sz w:val="26"/>
          <w:szCs w:val="26"/>
        </w:rPr>
        <w:t xml:space="preserve"> увеличения продуктивности сельскохозяйственных угодий, развития органического земледелия, введения в оборот дополнительных пахотных земель, повышения качества обработки полей и проведения мелиоративных работ.</w:t>
      </w:r>
      <w:r>
        <w:rPr>
          <w:rFonts w:ascii="PT Astra Serif" w:hAnsi="PT Astra Serif"/>
          <w:color w:val="000000"/>
          <w:sz w:val="28"/>
          <w:szCs w:val="28"/>
        </w:rPr>
      </w:r>
      <w:r>
        <w:rPr>
          <w:rFonts w:ascii="PT Astra Serif" w:hAnsi="PT Astra Serif"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рамк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ах реализации ведомственного проекта «Стимулирование развития производства продукции растениеводства» до 2028 года предусмотрены мероприятия по финансовому обеспечению и компенсации части затрат сельскохозяйственным товаропроизводителям в размере более 36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рублей ежегодно на поддержку производства картофеля, овощей открытого и защищенного грунта, 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т.ч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 с применением технологией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досвечивания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на развитие элитного семеноводства, а также на повышение уровня экологической безопасности, повышение плодородия и качества почв на посевных площадях.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связи с этим к 2029 году производство картофеля прогнозируется с увеличен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ием к 2025 году по базовому варианту на 8,3%, по целевому – на 12,3%. Производство овощей в среднесрочном периоде также прогнозируется с ростом. По базовому варианту прирост составит 11,4%, по целевому – 23,8% за счет увеличения урожайности в СХО и КФХ.   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Также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важное значение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в растениеводстве будет иметь реализация программы по мелиорации и вовлечению в оборот неиспользуемых земель сельскохозяйственного назначения, </w:t>
      </w:r>
      <w:r>
        <w:rPr>
          <w:rStyle w:val="1072"/>
          <w:rFonts w:ascii="PT Astra Serif" w:hAnsi="PT Astra Serif"/>
          <w:sz w:val="26"/>
          <w:szCs w:val="26"/>
        </w:rPr>
        <w:t xml:space="preserve">собственное производство семян зерновых и масличных культур, снижение издержек на основе системы бережливого производства, а также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повышение уровня технического оснащения материально-технической базы сельскохозяйственных товаропроизводителей.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При этом с учетом изменения структуры посевных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площадей к концу 2029 года ожидается снижение (по базовому варианту) производства зерновых и зернобобовых культур до 335 тыс. тонн при наращивании производства семян и плодов масличных культур до 57 тыс. тонн. Темп роста объемов производства данных видов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агрокультур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по сравнению с урожайным 2025 годом составит 92,9% и 131% соответственно.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Таким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образом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в с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реднесрочном периоде до 2029 года с учетом погодных условий прогнозируется рост продукции растениеводства к уровню 2025 года по базовому варианту на 4,3%, по целевому – на 9,6%. По консервативному варианту в 2029 году темп роста к 2025 году составит 97,5%.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целом ежегодный индекс производства продукции сельского хозяйства в хозяйствах всех категорий в прогнозном периоде на 2027 год и период до 2029 года по базовому варианту составит от 101,7% до 103,5%, по консервативному – от 98,6%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100,5%, по целевому – от 102,1% до 106,6%.</w:t>
      </w:r>
      <w:r>
        <w:rPr>
          <w:rFonts w:ascii="PT Astra Serif" w:hAnsi="PT Astra Serif" w:eastAsia="Times New Roman" w:cs="Times New Roman"/>
          <w:sz w:val="28"/>
          <w:szCs w:val="28"/>
        </w:rPr>
      </w:r>
      <w:r>
        <w:rPr>
          <w:rFonts w:ascii="PT Astra Serif" w:hAnsi="PT Astra Serif" w:eastAsia="Times New Roman" w:cs="Times New Roman"/>
          <w:sz w:val="28"/>
          <w:szCs w:val="28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4.4. Инвестиции в основной капитал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итогам 2025 года объем инвестиций в основной капитал по полному кругу организаций Томской области составил 213,5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 (ИФО – 101,4%), в том числе по крупным и средним организациям – 188,9 млрд рублей (ИФО – 101,3%).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составе инвестиций в основной капитал преобладали инвестиции, направленные на осуществление следующих видов экономической деятельности: обрабатывающие производства – 30,8% (58,2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рублей), добыча полезных ископаемых – 28,4% (53,7 млрд рублей), транспортировка и хранение – 11,7% (22,2 млрд рублей), в </w:t>
      </w:r>
      <w:r>
        <w:rPr>
          <w:rFonts w:ascii="PT Astra Serif" w:hAnsi="PT Astra Serif"/>
          <w:sz w:val="26"/>
          <w:szCs w:val="26"/>
        </w:rPr>
        <w:t xml:space="preserve">т.ч</w:t>
      </w:r>
      <w:r>
        <w:rPr>
          <w:rFonts w:ascii="PT Astra Serif" w:hAnsi="PT Astra Serif"/>
          <w:sz w:val="26"/>
          <w:szCs w:val="26"/>
        </w:rPr>
        <w:t xml:space="preserve">. деятельность трубопроводного транспорта – 9,2% (17,3 млрд рублей), обеспечение электрической энергией, газом и паром; кондиционирование воздуха – 5% (9,4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рублей), деятельность по операциям с недвижимым имуществом – 5,4% (10,2 млрд рублей).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Определяющее влияние на динамику в 2025 оказал рост инвестиций в такие виды деятельности, как добыча полезных ископаемых (ИФО - 108,6%), обрабатывающие производ</w:t>
      </w:r>
      <w:r>
        <w:rPr>
          <w:rFonts w:ascii="PT Astra Serif" w:hAnsi="PT Astra Serif"/>
          <w:sz w:val="26"/>
          <w:szCs w:val="26"/>
        </w:rPr>
        <w:t xml:space="preserve">ства (ИФО - 109,8%), транспортировка и хранение (ИФО - 111,7%), торговля оптовая и розничная (ИФО - 114,2%), деятельность в области здравоохранения и социальных услуг, (ИФО – 123,6%), образование (ИФО – 110,8%), совокупный прирост по которым составил 27,9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 (суммарный удельный вес этих отраслей – 77,9%).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Объем инвестиций за 2025 год сформирован преимущественно за счет реализации комплексных проектов по разработке месторождений АО «Газпром добыча Томск» и АО «</w:t>
      </w:r>
      <w:r>
        <w:rPr>
          <w:rFonts w:ascii="PT Astra Serif" w:hAnsi="PT Astra Serif"/>
          <w:sz w:val="26"/>
          <w:szCs w:val="26"/>
        </w:rPr>
        <w:t xml:space="preserve">Томскнефть</w:t>
      </w:r>
      <w:r>
        <w:rPr>
          <w:rFonts w:ascii="PT Astra Serif" w:hAnsi="PT Astra Serif"/>
          <w:sz w:val="26"/>
          <w:szCs w:val="26"/>
        </w:rPr>
        <w:t xml:space="preserve"> ВНК» в сфере добычи полезных ископаемых, строительства опытно-демонстрационного </w:t>
      </w:r>
      <w:r>
        <w:rPr>
          <w:rFonts w:ascii="PT Astra Serif" w:hAnsi="PT Astra Serif"/>
          <w:sz w:val="26"/>
          <w:szCs w:val="26"/>
        </w:rPr>
        <w:t xml:space="preserve">энергокомплекса</w:t>
      </w:r>
      <w:r>
        <w:rPr>
          <w:rFonts w:ascii="PT Astra Serif" w:hAnsi="PT Astra Serif"/>
          <w:sz w:val="26"/>
          <w:szCs w:val="26"/>
        </w:rPr>
        <w:t xml:space="preserve"> «Брест-ОД-300» в сфере обрабатывающих производств.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Основным источником финансирования инвестиций в основной капитал по крупным и средним организациям Томской области являлись собственные средства организаций  - 156,9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рублей, или 83%. Объем привлеченных средств составил 32 млрд рублей, или 17%, в том числе: кредиты банков – 7,4 млрд рублей, заемные средства – 5,5 млрд рублей, бюджетные инвестиции – 11,9 млрд рублей (в </w:t>
      </w:r>
      <w:r>
        <w:rPr>
          <w:rFonts w:ascii="PT Astra Serif" w:hAnsi="PT Astra Serif"/>
          <w:sz w:val="26"/>
          <w:szCs w:val="26"/>
        </w:rPr>
        <w:t xml:space="preserve">т.ч</w:t>
      </w:r>
      <w:r>
        <w:rPr>
          <w:rFonts w:ascii="PT Astra Serif" w:hAnsi="PT Astra Serif"/>
          <w:sz w:val="26"/>
          <w:szCs w:val="26"/>
        </w:rPr>
        <w:t xml:space="preserve">. 5,2 млрд руб. средства федерального бюджета и 4,5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руб. средства бюджета субъекта РФ).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Объем инвестиций в основной капитал по полному кругу организаций Томской области в 1 кв. 2026 года составил 34,5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 (ИФО – 85,8%), в том числе по крупным и средним организациям – 30,5 млрд. рублей (ИФО – 84,7%).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Определяющее влияние на динамику инвестиций по круп</w:t>
      </w:r>
      <w:r>
        <w:rPr>
          <w:rFonts w:ascii="PT Astra Serif" w:hAnsi="PT Astra Serif"/>
          <w:sz w:val="26"/>
          <w:szCs w:val="26"/>
        </w:rPr>
        <w:t xml:space="preserve">ным и средним предприятиям оказал рост инвестиций в обрабатывающие производства (ИФО – 169,4%). Определяющее влияние на отрицательную динамику инвестиций оказали такие виды деятельности, как добыча полезных ископаемых (ИФО - 72,5%), обеспечение электрическ</w:t>
      </w:r>
      <w:r>
        <w:rPr>
          <w:rFonts w:ascii="PT Astra Serif" w:hAnsi="PT Astra Serif"/>
          <w:sz w:val="26"/>
          <w:szCs w:val="26"/>
        </w:rPr>
        <w:t xml:space="preserve">ой энергией, газом и паром (ИФО - 60,2%), водоснабжение; водоотведение, организация сбора и утилизации отходов, деятельность по ликвидации загрязнений (ИФО – 73,6%), торговля оптовая и розничная; ремонт автотранспортных средств и мотоциклов (ИФО – 41,3%),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Основной источник финансирования инвестиций в основной капитал по крупным и средним организациям Томской области – это собственные средства – 25,2 млрд. рублей или 82,6%.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Объем инвестиций в основной капитал по Томской области по полному кругу организаций в 2026 году составит по оценке 228,6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 (ИФО – 100,1%), по крупным и средним организациям – 200,2 млрд рублей (ИФО – 100%).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Крупные инвестиционные проекты, реализуемые в 2026 году: строительство опытно-демонстрационного </w:t>
      </w:r>
      <w:r>
        <w:rPr>
          <w:rFonts w:ascii="PT Astra Serif" w:hAnsi="PT Astra Serif"/>
          <w:sz w:val="26"/>
          <w:szCs w:val="26"/>
        </w:rPr>
        <w:t xml:space="preserve">энергокомплекса</w:t>
      </w:r>
      <w:r>
        <w:rPr>
          <w:rFonts w:ascii="PT Astra Serif" w:hAnsi="PT Astra Serif"/>
          <w:sz w:val="26"/>
          <w:szCs w:val="26"/>
        </w:rPr>
        <w:t xml:space="preserve"> «Брест-ОД-300» со свинцовым теплоносителем и с пристанционным ядерным топливным циклом на площадке административно-территориального образования г. Северск, реализуемый АО «СХК» и ГК «</w:t>
      </w:r>
      <w:r>
        <w:rPr>
          <w:rFonts w:ascii="PT Astra Serif" w:hAnsi="PT Astra Serif"/>
          <w:sz w:val="26"/>
          <w:szCs w:val="26"/>
        </w:rPr>
        <w:t xml:space="preserve">Росатом</w:t>
      </w:r>
      <w:r>
        <w:rPr>
          <w:rFonts w:ascii="PT Astra Serif" w:hAnsi="PT Astra Serif"/>
          <w:sz w:val="26"/>
          <w:szCs w:val="26"/>
        </w:rPr>
        <w:t xml:space="preserve">» (обрабатывающие производства), разработка месторождений АО «Газпром добыча Томск» и АО «</w:t>
      </w:r>
      <w:r>
        <w:rPr>
          <w:rFonts w:ascii="PT Astra Serif" w:hAnsi="PT Astra Serif"/>
          <w:sz w:val="26"/>
          <w:szCs w:val="26"/>
        </w:rPr>
        <w:t xml:space="preserve">Томскнефть</w:t>
      </w:r>
      <w:r>
        <w:rPr>
          <w:rFonts w:ascii="PT Astra Serif" w:hAnsi="PT Astra Serif"/>
          <w:sz w:val="26"/>
          <w:szCs w:val="26"/>
        </w:rPr>
        <w:t xml:space="preserve"> ВНК» (добыча полезных ископаемых); строительство автомобильной дороги Малое транспортное кольцо г. Томска на участке </w:t>
      </w:r>
      <w:r>
        <w:rPr>
          <w:rFonts w:ascii="PT Astra Serif" w:hAnsi="PT Astra Serif"/>
          <w:sz w:val="26"/>
          <w:szCs w:val="26"/>
        </w:rPr>
        <w:t xml:space="preserve">км</w:t>
      </w:r>
      <w:r>
        <w:rPr>
          <w:rFonts w:ascii="PT Astra Serif" w:hAnsi="PT Astra Serif"/>
          <w:sz w:val="26"/>
          <w:szCs w:val="26"/>
        </w:rPr>
        <w:t xml:space="preserve"> 0 – км 5. Одним из основных факторов, влияющих на</w:t>
      </w:r>
      <w:r>
        <w:rPr>
          <w:rFonts w:ascii="PT Astra Serif" w:hAnsi="PT Astra Serif"/>
          <w:sz w:val="26"/>
          <w:szCs w:val="26"/>
        </w:rPr>
        <w:t xml:space="preserve"> динамику Прогноза в 2025 году (ИФО – 100,1%), является сектор обрабатывающей промышленности (ИФО – 145,5%%). Кроме того, значительные инвестиционные вложения отмечаются в смежных отраслях нефтегазодобывающего комплекса в транспортировку нефти и газа (АО «</w:t>
      </w:r>
      <w:r>
        <w:rPr>
          <w:rFonts w:ascii="PT Astra Serif" w:hAnsi="PT Astra Serif"/>
          <w:sz w:val="26"/>
          <w:szCs w:val="26"/>
        </w:rPr>
        <w:t xml:space="preserve">Транснефть</w:t>
      </w:r>
      <w:r>
        <w:rPr>
          <w:rFonts w:ascii="PT Astra Serif" w:hAnsi="PT Astra Serif"/>
          <w:sz w:val="26"/>
          <w:szCs w:val="26"/>
        </w:rPr>
        <w:t xml:space="preserve"> – </w:t>
      </w:r>
      <w:r>
        <w:rPr>
          <w:rFonts w:ascii="PT Astra Serif" w:hAnsi="PT Astra Serif"/>
          <w:sz w:val="26"/>
          <w:szCs w:val="26"/>
        </w:rPr>
        <w:t xml:space="preserve">Сибирь», АО «</w:t>
      </w:r>
      <w:r>
        <w:rPr>
          <w:rFonts w:ascii="PT Astra Serif" w:hAnsi="PT Astra Serif"/>
          <w:sz w:val="26"/>
          <w:szCs w:val="26"/>
        </w:rPr>
        <w:t xml:space="preserve">Транснефть</w:t>
      </w:r>
      <w:r>
        <w:rPr>
          <w:rFonts w:ascii="PT Astra Serif" w:hAnsi="PT Astra Serif"/>
          <w:sz w:val="26"/>
          <w:szCs w:val="26"/>
        </w:rPr>
        <w:t xml:space="preserve"> – Западная Сибирь», ООО «</w:t>
      </w:r>
      <w:r>
        <w:rPr>
          <w:rFonts w:ascii="PT Astra Serif" w:hAnsi="PT Astra Serif"/>
          <w:sz w:val="26"/>
          <w:szCs w:val="26"/>
        </w:rPr>
        <w:t xml:space="preserve">Транссервис</w:t>
      </w:r>
      <w:r>
        <w:rPr>
          <w:rFonts w:ascii="PT Astra Serif" w:hAnsi="PT Astra Serif"/>
          <w:sz w:val="26"/>
          <w:szCs w:val="26"/>
        </w:rPr>
        <w:t xml:space="preserve">», ООО «Газпром </w:t>
      </w:r>
      <w:r>
        <w:rPr>
          <w:rFonts w:ascii="PT Astra Serif" w:hAnsi="PT Astra Serif"/>
          <w:sz w:val="26"/>
          <w:szCs w:val="26"/>
        </w:rPr>
        <w:t xml:space="preserve">трансгаз</w:t>
      </w:r>
      <w:r>
        <w:rPr>
          <w:rFonts w:ascii="PT Astra Serif" w:hAnsi="PT Astra Serif"/>
          <w:sz w:val="26"/>
          <w:szCs w:val="26"/>
        </w:rPr>
        <w:t xml:space="preserve"> Томск», ООО «РН-</w:t>
      </w:r>
      <w:r>
        <w:rPr>
          <w:rFonts w:ascii="PT Astra Serif" w:hAnsi="PT Astra Serif"/>
          <w:sz w:val="26"/>
          <w:szCs w:val="26"/>
        </w:rPr>
        <w:t xml:space="preserve">Транспорт»</w:t>
      </w:r>
      <w:r>
        <w:rPr>
          <w:rFonts w:ascii="PT Astra Serif" w:hAnsi="PT Astra Serif"/>
          <w:sz w:val="26"/>
          <w:szCs w:val="26"/>
        </w:rPr>
        <w:t xml:space="preserve">,О</w:t>
      </w:r>
      <w:r>
        <w:rPr>
          <w:rFonts w:ascii="PT Astra Serif" w:hAnsi="PT Astra Serif"/>
          <w:sz w:val="26"/>
          <w:szCs w:val="26"/>
        </w:rPr>
        <w:t xml:space="preserve">ОО</w:t>
      </w:r>
      <w:r>
        <w:rPr>
          <w:rFonts w:ascii="PT Astra Serif" w:hAnsi="PT Astra Serif"/>
          <w:sz w:val="26"/>
          <w:szCs w:val="26"/>
        </w:rPr>
        <w:t xml:space="preserve"> «</w:t>
      </w:r>
      <w:r>
        <w:rPr>
          <w:rFonts w:ascii="PT Astra Serif" w:hAnsi="PT Astra Serif"/>
          <w:sz w:val="26"/>
          <w:szCs w:val="26"/>
        </w:rPr>
        <w:t xml:space="preserve">Томсктрансавто</w:t>
      </w:r>
      <w:r>
        <w:rPr>
          <w:rFonts w:ascii="PT Astra Serif" w:hAnsi="PT Astra Serif"/>
          <w:sz w:val="26"/>
          <w:szCs w:val="26"/>
        </w:rPr>
        <w:t xml:space="preserve">»).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8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2026 году темпы роста положительные (ИФО – 102,1%). С 2027 года прогнозируется снижение объема инвестиций (ИФО – 99,0%), в 2028 году ИФО – 96,5%, в том числе за счет поэтапного уменьшения инвестиций в проект Брест-300 в связи с его завершением.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прогнозном периоде 2027-2029 годов по базовому сценарию объем инвестиций в основной капитал по полному кругу организаций прогнозируется на уровне 223,9 </w:t>
      </w:r>
      <w:r>
        <w:rPr>
          <w:rFonts w:ascii="PT Astra Serif" w:hAnsi="PT Astra Serif"/>
          <w:sz w:val="26"/>
          <w:szCs w:val="26"/>
        </w:rPr>
        <w:t xml:space="preserve">млрд</w:t>
      </w:r>
      <w:r>
        <w:rPr>
          <w:rFonts w:ascii="PT Astra Serif" w:hAnsi="PT Astra Serif"/>
          <w:sz w:val="26"/>
          <w:szCs w:val="26"/>
        </w:rPr>
        <w:t xml:space="preserve"> рублей (ИФО – 92,9%) в 2027году со снижением до 204,4 млрд рублей (ИФО – 100%) в 2029 году, по крупным и средним организациям – от 191,4 млрд рублей (ИФО – 100%) до 173,7 млрд рублей (ИФО – 100%) соответственно.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2027 году по консервативному сценарию прогнозируется объем инвестиций в основной капитал на уровне 163,9 млрд. рублей (ИФО – 77,2%), в 2028 году – 136,4 млрд. рублей (ИФО – 79,9%), в 2029 году – 136,8 млрд. рублей (ИФО – 96,2%).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Основными факторами, сдерживающими рост объема инвестиций в основной капитал по Томской области, являются: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жесткая денежно-кредитная политика Центрального банка Российской Федерации;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ужесточение </w:t>
      </w:r>
      <w:r>
        <w:rPr>
          <w:rFonts w:ascii="PT Astra Serif" w:hAnsi="PT Astra Serif"/>
          <w:color w:val="auto"/>
          <w:sz w:val="26"/>
          <w:szCs w:val="26"/>
        </w:rPr>
        <w:t xml:space="preserve">контроля за</w:t>
      </w:r>
      <w:r>
        <w:rPr>
          <w:rFonts w:ascii="PT Astra Serif" w:hAnsi="PT Astra Serif"/>
          <w:color w:val="auto"/>
          <w:sz w:val="26"/>
          <w:szCs w:val="26"/>
        </w:rPr>
        <w:t xml:space="preserve"> налоговыми льготами в преференциальных режимах;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внешнеэкономические риски;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дефицит свободных земельных участков с подведенными коммуникациями для реализации инвестиционных проектов на территории субъекта Российской Федерации;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низкий уровень инвестиционного спроса и дефицит свободных сре</w:t>
      </w:r>
      <w:r>
        <w:rPr>
          <w:rFonts w:ascii="PT Astra Serif" w:hAnsi="PT Astra Serif"/>
          <w:color w:val="auto"/>
          <w:sz w:val="26"/>
          <w:szCs w:val="26"/>
        </w:rPr>
        <w:t xml:space="preserve">дств дл</w:t>
      </w:r>
      <w:r>
        <w:rPr>
          <w:rFonts w:ascii="PT Astra Serif" w:hAnsi="PT Astra Serif"/>
          <w:color w:val="auto"/>
          <w:sz w:val="26"/>
          <w:szCs w:val="26"/>
        </w:rPr>
        <w:t xml:space="preserve">я инвестирования, невысокая инвестиционная привлекательность социальной </w:t>
      </w:r>
      <w:r>
        <w:rPr>
          <w:rFonts w:ascii="PT Astra Serif" w:hAnsi="PT Astra Serif"/>
          <w:color w:val="auto"/>
          <w:sz w:val="26"/>
          <w:szCs w:val="26"/>
        </w:rPr>
        <w:t xml:space="preserve">сферы, коммунального хозяйства, дорожно-транспортного комплекса для частных инвесторов;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pStyle w:val="1028"/>
        <w:numPr>
          <w:ilvl w:val="0"/>
          <w:numId w:val="35"/>
        </w:numPr>
        <w:jc w:val="both"/>
        <w:spacing w:after="120"/>
        <w:rPr>
          <w:rFonts w:ascii="PT Astra Serif" w:hAnsi="PT Astra Serif"/>
          <w:color w:val="auto"/>
          <w:sz w:val="26"/>
          <w:szCs w:val="26"/>
        </w:rPr>
      </w:pPr>
      <w:r>
        <w:rPr>
          <w:rFonts w:ascii="PT Astra Serif" w:hAnsi="PT Astra Serif"/>
          <w:color w:val="auto"/>
          <w:sz w:val="26"/>
          <w:szCs w:val="26"/>
        </w:rPr>
        <w:t xml:space="preserve">ограничения по транспортной и энергетической инфраструктуре </w:t>
      </w:r>
      <w:r>
        <w:rPr>
          <w:rFonts w:ascii="PT Astra Serif" w:hAnsi="PT Astra Serif"/>
          <w:sz w:val="26"/>
          <w:szCs w:val="26"/>
        </w:rPr>
        <w:t xml:space="preserve">и </w:t>
      </w:r>
      <w:r>
        <w:rPr>
          <w:rFonts w:ascii="PT Astra Serif" w:hAnsi="PT Astra Serif"/>
          <w:color w:val="auto"/>
          <w:sz w:val="26"/>
          <w:szCs w:val="26"/>
        </w:rPr>
        <w:t xml:space="preserve">диспропорции территориального развития.</w:t>
      </w:r>
      <w:r>
        <w:rPr>
          <w:rFonts w:ascii="PT Astra Serif" w:hAnsi="PT Astra Serif"/>
          <w:color w:val="auto"/>
          <w:sz w:val="26"/>
          <w:szCs w:val="26"/>
        </w:rPr>
      </w:r>
      <w:r>
        <w:rPr>
          <w:rFonts w:ascii="PT Astra Serif" w:hAnsi="PT Astra Serif"/>
          <w:color w:val="auto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Целевой сценарий предполагает успешную реализацию запланированных и </w:t>
      </w:r>
      <w:r>
        <w:rPr>
          <w:rFonts w:ascii="PT Astra Serif" w:hAnsi="PT Astra Serif"/>
          <w:sz w:val="26"/>
          <w:szCs w:val="26"/>
        </w:rPr>
        <w:t xml:space="preserve">разработку</w:t>
      </w:r>
      <w:r>
        <w:rPr>
          <w:rFonts w:ascii="PT Astra Serif" w:hAnsi="PT Astra Serif"/>
          <w:sz w:val="26"/>
          <w:szCs w:val="26"/>
        </w:rPr>
        <w:t xml:space="preserve"> и внедрение новых инвестиционных проектов, повышение инвестиционной активности в отдельных секторах экономики за счет расширения доступа к капиталу и увеличения объемов государственной поддержки. Объ</w:t>
      </w:r>
      <w:r>
        <w:rPr>
          <w:rFonts w:ascii="PT Astra Serif" w:hAnsi="PT Astra Serif"/>
          <w:sz w:val="26"/>
          <w:szCs w:val="26"/>
        </w:rPr>
        <w:t xml:space="preserve">ем инвестиций в основной капитал по целевому сценарию прогнозируется на уровне 247,2 млрд. рублей (ИФО – 103%) в 2027 году, 231,5 млрд. рублей (ИФО – 90,0%) в 2028 году, к 2028 году объем инвестиций планируется на уровне 349,5 млрд. рублей (ИФО – 103,7%). 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4.5. Строительство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Строительный комплекс выступает в роли системообразующей отрасли региона, формируя жилой фонд, инфраструктурный каркас и материально-техническую базу для всех остальных секторов </w:t>
      </w: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экономики</w:t>
      </w:r>
      <w:r>
        <w:rPr>
          <w:rFonts w:ascii="Liberation Sans" w:hAnsi="Liberation Sans" w:eastAsia="Liberation Sans" w:cs="Liberation Sans"/>
          <w:color w:val="0f1115"/>
          <w:sz w:val="24"/>
          <w:highlight w:val="white"/>
        </w:rPr>
        <w:t xml:space="preserve">.</w:t>
      </w:r>
      <w:r>
        <w:rPr>
          <w:rFonts w:ascii="PT Astra Serif" w:hAnsi="PT Astra Serif"/>
          <w:sz w:val="26"/>
          <w:szCs w:val="26"/>
          <w:highlight w:val="white"/>
        </w:rPr>
        <w:t xml:space="preserve">П</w:t>
      </w:r>
      <w:r>
        <w:rPr>
          <w:rFonts w:ascii="PT Astra Serif" w:hAnsi="PT Astra Serif"/>
          <w:sz w:val="26"/>
          <w:szCs w:val="26"/>
          <w:highlight w:val="white"/>
        </w:rPr>
        <w:t xml:space="preserve">о</w:t>
      </w:r>
      <w:r>
        <w:rPr>
          <w:rFonts w:ascii="PT Astra Serif" w:hAnsi="PT Astra Serif"/>
          <w:sz w:val="26"/>
          <w:szCs w:val="26"/>
          <w:highlight w:val="white"/>
        </w:rPr>
        <w:t xml:space="preserve"> итогам 2025 года строительный комплекс Томской области функционировал в условиях сжатия платёжеспособного спроса, вызванного высокими ставками рыночной ипотеки и исчерпанием лимитов</w:t>
      </w:r>
      <w:r>
        <w:rPr>
          <w:rFonts w:ascii="PT Astra Serif" w:hAnsi="PT Astra Serif"/>
          <w:sz w:val="26"/>
          <w:szCs w:val="26"/>
          <w:highlight w:val="white"/>
        </w:rPr>
        <w:t xml:space="preserve"> льготных программ, что привело к накоплению нераспроданного жилья и сдерживанию запуска новых проектов. Одновременно зафиксировано опережающее удорожание строительно-монтажных работ и логистических издержек, также нельзя не отметить отрицательные моменты </w:t>
      </w:r>
      <w:r>
        <w:rPr>
          <w:rFonts w:ascii="PT Astra Serif" w:hAnsi="PT Astra Serif"/>
          <w:sz w:val="26"/>
          <w:szCs w:val="26"/>
          <w:highlight w:val="white"/>
        </w:rPr>
        <w:t xml:space="preserve">санкционного</w:t>
      </w:r>
      <w:r>
        <w:rPr>
          <w:rFonts w:ascii="PT Astra Serif" w:hAnsi="PT Astra Serif"/>
          <w:sz w:val="26"/>
          <w:szCs w:val="26"/>
          <w:highlight w:val="white"/>
        </w:rPr>
        <w:t xml:space="preserve"> давления на экономику России и региона в частности в части отсутствия импортного оборудования (например, лифтовое, вентиляционное оборудов</w:t>
      </w:r>
      <w:r>
        <w:rPr>
          <w:rFonts w:ascii="PT Astra Serif" w:hAnsi="PT Astra Serif"/>
          <w:sz w:val="26"/>
          <w:szCs w:val="26"/>
          <w:highlight w:val="white"/>
        </w:rPr>
        <w:t xml:space="preserve">ание), что неизменно отражается на стоимости, сроках и объемах выполненных работ. С учетом реализации крупных проектов по итогам 2025 года объем работ, выполненных по виду деятельности «Строительство», уменьшился на 3,9% к уровню 2024 года и составил 87,8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счет бюджетного финансирования в 2025 году осуществлялись ремонт и строительство по следующим объектам: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b w:val="0"/>
          <w:bCs w:val="0"/>
          <w:sz w:val="26"/>
          <w:szCs w:val="26"/>
          <w:highlight w:val="white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Национальный проект «Молодежь и дети»:</w:t>
      </w:r>
      <w:r>
        <w:rPr>
          <w:rFonts w:ascii="PT Astra Serif" w:hAnsi="PT Astra Serif"/>
          <w:b w:val="0"/>
          <w:bCs w:val="0"/>
          <w:sz w:val="26"/>
          <w:szCs w:val="26"/>
          <w:highlight w:val="white"/>
        </w:rPr>
      </w:r>
      <w:r>
        <w:rPr>
          <w:rFonts w:ascii="PT Astra Serif" w:hAnsi="PT Astra Serif"/>
          <w:b w:val="0"/>
          <w:bCs w:val="0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u w:val="single"/>
        </w:rPr>
        <w:t xml:space="preserve">Региональный проект «Россия – страна возможностей</w:t>
      </w:r>
      <w:r>
        <w:rPr>
          <w:rFonts w:ascii="PT Astra Serif" w:hAnsi="PT Astra Serif"/>
          <w:sz w:val="26"/>
          <w:szCs w:val="26"/>
        </w:rPr>
        <w:t xml:space="preserve">»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рамках</w:t>
      </w:r>
      <w:r>
        <w:rPr>
          <w:rFonts w:ascii="PT Astra Serif" w:hAnsi="PT Astra Serif"/>
          <w:sz w:val="26"/>
          <w:szCs w:val="26"/>
        </w:rPr>
        <w:t xml:space="preserve"> регионального проекта завершен капитальный ремонт: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− Молодежного центра «Молодежный дом» (г. Томск, ул. Р. Люксембург,8);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− МБУ «Колпашевский молодежный центр» (г. Колпашево, ул. Кирова, 43);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− Молодежного центра (г. Стрежевой, ул. Строителей, 60, пом. 1);</w:t>
      </w:r>
      <w:r/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− Молодежного центра (р. п. Белый Яр, ул. Чапаева, 7)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Национальный проект «Семья»: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рамках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 регионального проекта: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1) проведен капитальный ремонт 2-х учреждений культуры: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− дома культуры (г.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Кедровый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);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− ДШИ (далее - детская школа искусств, с.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Зырянское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);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2) завершен III этап капитального ремонта ОГАУК «Театр драмы»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Национальный проект «Молодежь и дети»: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  <w:u w:val="single"/>
        </w:rPr>
      </w:pPr>
      <w:r>
        <w:rPr>
          <w:rFonts w:ascii="PT Astra Serif" w:hAnsi="PT Astra Serif"/>
          <w:b w:val="0"/>
          <w:bCs w:val="0"/>
          <w:sz w:val="26"/>
          <w:szCs w:val="26"/>
          <w:u w:val="single"/>
        </w:rPr>
        <w:t xml:space="preserve">Региональный проект «Все лучшее детям»</w: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рамках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 регионального проекта: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1) начато строительство школы на 1 100 мест в г. Томске по ул. А.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Крячкова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, 3;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2) в 165 школах оснащены предметные кабинеты для реализации образовательных программ по учебным предметам «Основы безопасности и защиты Родины»;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3) завершены работы по капитальному ремонту 37 зданий образовательных организаций в рамках модернизации школьных систем образования;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Национальный проект «Инфраструктура для жизни»: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  <w:u w:val="single"/>
        </w:rPr>
      </w:pPr>
      <w:r>
        <w:rPr>
          <w:rFonts w:ascii="PT Astra Serif" w:hAnsi="PT Astra Serif"/>
          <w:b w:val="0"/>
          <w:bCs w:val="0"/>
          <w:sz w:val="26"/>
          <w:szCs w:val="26"/>
          <w:u w:val="single"/>
        </w:rPr>
        <w:t xml:space="preserve">Региональный проект «Формирование комфортной городской среды»</w: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рамках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 реализации мероприятий: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− благоустроено 43 общественных территорий на территории 19 муниципальных образований;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b w:val="0"/>
          <w:bCs w:val="0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Национальный проект «Кадры»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120" w:line="240" w:lineRule="auto"/>
        <w:rPr>
          <w:u w:val="single"/>
        </w:rPr>
      </w:pPr>
      <w:r>
        <w:rPr>
          <w:rFonts w:ascii="PT Astra Serif" w:hAnsi="PT Astra Serif"/>
          <w:b w:val="0"/>
          <w:bCs w:val="0"/>
          <w:sz w:val="26"/>
          <w:szCs w:val="26"/>
          <w:u w:val="single"/>
        </w:rPr>
        <w:t xml:space="preserve">Региональный проект «Управление рынком труд</w:t>
      </w:r>
      <w:r>
        <w:rPr>
          <w:rFonts w:ascii="PT Astra Serif" w:hAnsi="PT Astra Serif"/>
          <w:sz w:val="26"/>
          <w:szCs w:val="26"/>
          <w:u w:val="single"/>
        </w:rPr>
        <w:t xml:space="preserve">а»</w:t>
      </w:r>
      <w:r>
        <w:rPr>
          <w:u w:val="single"/>
        </w:rPr>
      </w:r>
      <w:r>
        <w:rPr>
          <w:u w:val="singl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 итогам реализации регионального проекта: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1) выполнен текущий ремонт в 15 территориальных отделах ОГКУ «ЦЗН» Зырянского, </w:t>
      </w:r>
      <w:r>
        <w:rPr>
          <w:rFonts w:ascii="PT Astra Serif" w:hAnsi="PT Astra Serif"/>
          <w:sz w:val="26"/>
          <w:szCs w:val="26"/>
        </w:rPr>
        <w:t xml:space="preserve">Кривошеинского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Кожевниковского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Молчановского</w:t>
      </w:r>
      <w:r>
        <w:rPr>
          <w:rFonts w:ascii="PT Astra Serif" w:hAnsi="PT Astra Serif"/>
          <w:sz w:val="26"/>
          <w:szCs w:val="26"/>
        </w:rPr>
        <w:t xml:space="preserve">, Первомайского, </w:t>
      </w:r>
      <w:r>
        <w:rPr>
          <w:rFonts w:ascii="PT Astra Serif" w:hAnsi="PT Astra Serif"/>
          <w:sz w:val="26"/>
          <w:szCs w:val="26"/>
        </w:rPr>
        <w:t xml:space="preserve">Шегарского</w:t>
      </w:r>
      <w:r>
        <w:rPr>
          <w:rFonts w:ascii="PT Astra Serif" w:hAnsi="PT Astra Serif"/>
          <w:sz w:val="26"/>
          <w:szCs w:val="26"/>
        </w:rPr>
        <w:t xml:space="preserve">, Александровского, Каргасокского, Парабельского, Верхнекетского, Чаинского, Бакчарского районов и г. Колпашево, г. Стрежевого, </w:t>
      </w:r>
      <w:r>
        <w:rPr>
          <w:rFonts w:ascii="PT Astra Serif" w:hAnsi="PT Astra Serif"/>
          <w:sz w:val="26"/>
          <w:szCs w:val="26"/>
        </w:rPr>
        <w:t xml:space="preserve">в</w:t>
      </w:r>
      <w:r>
        <w:rPr>
          <w:rFonts w:ascii="PT Astra Serif" w:hAnsi="PT Astra Serif"/>
          <w:sz w:val="26"/>
          <w:szCs w:val="26"/>
        </w:rPr>
        <w:t xml:space="preserve"> ЗАТО г. Северск (на 2 и 3 этажах здания).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6 месяцев 2026 года объем работ в сфере строительства по Томской области составил 31,4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или 89,1% к соответствующему периоду предыдущего года. Основная доля объема строительных работ приходится на малый бизнес – за первое </w:t>
      </w:r>
      <w:r>
        <w:rPr>
          <w:rFonts w:ascii="PT Astra Serif" w:hAnsi="PT Astra Serif"/>
          <w:sz w:val="26"/>
          <w:szCs w:val="26"/>
          <w:highlight w:val="white"/>
        </w:rPr>
        <w:t xml:space="preserve">полугодие 2026 года доля составила 68,2% от общего объема строительных работ.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работ по крупным и средним предприятиям Томской области за 6 месяцев 2026 года составил 10,0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или 89% к соответствующе</w:t>
      </w:r>
      <w:r>
        <w:rPr>
          <w:rFonts w:ascii="PT Astra Serif" w:hAnsi="PT Astra Serif"/>
          <w:sz w:val="26"/>
          <w:szCs w:val="26"/>
          <w:highlight w:val="white"/>
        </w:rPr>
        <w:t xml:space="preserve">му периоду прошлого года: зафиксирован рост на 9,3% по строительству инженерных сооружений, доля которых в общем объеме строительства составляет 57,0%. По строительству зданий и работам строительным специализированным наблюдается снижение на 28,3% и 28,9% </w:t>
      </w:r>
      <w:r>
        <w:rPr>
          <w:rFonts w:ascii="PT Astra Serif" w:hAnsi="PT Astra Serif"/>
          <w:sz w:val="26"/>
          <w:szCs w:val="26"/>
          <w:highlight w:val="white"/>
        </w:rPr>
        <w:t xml:space="preserve">соответственно. Основной объем работ выполнен организациями, осуществляющими деятельность на проекте «БРЕСТ-ОД-300» в г. Северске – ПАО «СУС».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lang w:eastAsia="ru-RU"/>
        </w:rPr>
      </w:r>
      <w:r>
        <w:rPr>
          <w:rFonts w:ascii="PT Astra Serif" w:hAnsi="PT Astra Serif"/>
          <w:sz w:val="26"/>
          <w:szCs w:val="26"/>
          <w:highlight w:val="white"/>
        </w:rPr>
        <w:t xml:space="preserve">С учетом сохранения тенденций всех видов строительных работ до конца 2026 года объем работ и услуг, выполненных по виду деятельности «Строительство», оценивается на уровне 87,5 млрд. рублей или 94,0% к уровню 2025 года.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прогнозном периоде рост объемов работ и услуг, выполненных по виду деятельности «Строительство», ожидается за счет реализации на территории Томской област</w:t>
      </w:r>
      <w:r>
        <w:rPr>
          <w:rFonts w:ascii="PT Astra Serif" w:hAnsi="PT Astra Serif"/>
          <w:sz w:val="26"/>
          <w:szCs w:val="26"/>
          <w:highlight w:val="white"/>
        </w:rPr>
        <w:t xml:space="preserve">и крупных инвестиционных и национальных проектов (создание многофункционального студенческого городка в г. Томске, строительство опытно-демонстрационного комплекса в составе энергоблока с реактором на быстрых нейтронах «БРЕСТ-ОД-300», модулей фабрикации и </w:t>
      </w:r>
      <w:r>
        <w:rPr>
          <w:rFonts w:ascii="PT Astra Serif" w:hAnsi="PT Astra Serif"/>
          <w:sz w:val="26"/>
          <w:szCs w:val="26"/>
          <w:highlight w:val="white"/>
        </w:rPr>
        <w:t xml:space="preserve">рефабрикации</w:t>
      </w:r>
      <w:r>
        <w:rPr>
          <w:rFonts w:ascii="PT Astra Serif" w:hAnsi="PT Astra Serif"/>
          <w:sz w:val="26"/>
          <w:szCs w:val="26"/>
          <w:highlight w:val="white"/>
        </w:rPr>
        <w:t xml:space="preserve"> плотного топлива и модуля переработки отработавшего ядерного топлива (проект «ПРОРЫВ»), строительства</w:t>
      </w:r>
      <w:r>
        <w:rPr>
          <w:rFonts w:ascii="PT Astra Serif" w:hAnsi="PT Astra Serif"/>
          <w:sz w:val="26"/>
          <w:szCs w:val="26"/>
          <w:highlight w:val="white"/>
        </w:rPr>
        <w:t xml:space="preserve"> жилых районов и города-парка «Элеонор </w:t>
      </w:r>
      <w:r>
        <w:rPr>
          <w:rFonts w:ascii="PT Astra Serif" w:hAnsi="PT Astra Serif"/>
          <w:sz w:val="26"/>
          <w:szCs w:val="26"/>
          <w:highlight w:val="white"/>
        </w:rPr>
        <w:t xml:space="preserve">Эмеральд</w:t>
      </w:r>
      <w:r>
        <w:rPr>
          <w:rFonts w:ascii="PT Astra Serif" w:hAnsi="PT Astra Serif"/>
          <w:sz w:val="26"/>
          <w:szCs w:val="26"/>
          <w:highlight w:val="white"/>
        </w:rPr>
        <w:t xml:space="preserve"> Смарт Сити», комплексного развития территорий г. Томска и Томской области, строительства и </w:t>
      </w:r>
      <w:r>
        <w:rPr>
          <w:rFonts w:ascii="PT Astra Serif" w:hAnsi="PT Astra Serif"/>
          <w:sz w:val="26"/>
          <w:szCs w:val="26"/>
          <w:highlight w:val="white"/>
        </w:rPr>
        <w:t xml:space="preserve">ремонта</w:t>
      </w:r>
      <w:r>
        <w:rPr>
          <w:rFonts w:ascii="PT Astra Serif" w:hAnsi="PT Astra Serif"/>
          <w:sz w:val="26"/>
          <w:szCs w:val="26"/>
          <w:highlight w:val="white"/>
        </w:rPr>
        <w:t xml:space="preserve"> автомобильных дорог.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базовому варианту в 2027 – 2029 годах прогнозируется рост объемов работ и услуг, выполненных по виду деятельности «Строительство», на уровне 100,9% – 103,1%.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консервативному варианту сохраняется снижение объемов работ в связи с уменьшением объемов инвестиций в строительство жилья, а также с возможными рисками </w:t>
      </w:r>
      <w:r>
        <w:rPr>
          <w:rFonts w:ascii="PT Astra Serif" w:hAnsi="PT Astra Serif"/>
          <w:sz w:val="26"/>
          <w:szCs w:val="26"/>
          <w:highlight w:val="white"/>
        </w:rPr>
        <w:t xml:space="preserve">смещения сроков реализации строительства современного межвузовского кампуса</w:t>
      </w:r>
      <w:r>
        <w:rPr>
          <w:rFonts w:ascii="PT Astra Serif" w:hAnsi="PT Astra Serif"/>
          <w:sz w:val="26"/>
          <w:szCs w:val="26"/>
          <w:highlight w:val="white"/>
        </w:rPr>
        <w:t xml:space="preserve"> в г. Томске. ИФО строительных работ и услуг в 2027 – 2029 годах составит 95,7% – 97,4%.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Ввод жилья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рамках национального проекта «Инфрас</w:t>
      </w:r>
      <w:r>
        <w:rPr>
          <w:rFonts w:ascii="PT Astra Serif" w:hAnsi="PT Astra Serif"/>
          <w:sz w:val="26"/>
          <w:szCs w:val="26"/>
          <w:highlight w:val="white"/>
        </w:rPr>
        <w:t xml:space="preserve">труктура для жизни» ключевым ориентиром государственной политики выступает повышение качества жилищных условий граждан, что предполагает формирование на территории Томской области современного, комфортного и качественного жилищного фонда, интегрированного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развитую транспортную и социальную инфраструктуру.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cs="PT Astra Serif"/>
          <w:color w:val="000000" w:themeColor="text1"/>
          <w:sz w:val="26"/>
          <w:szCs w:val="26"/>
        </w:rPr>
      </w:pPr>
      <w:r>
        <w:rPr>
          <w:rFonts w:ascii="PT Astra Serif" w:hAnsi="PT Astra Serif" w:eastAsia="PT Astra Serif" w:cs="PT Astra Serif"/>
          <w:color w:val="000000" w:themeColor="text1"/>
          <w:sz w:val="26"/>
          <w:szCs w:val="26"/>
          <w:highlight w:val="white"/>
        </w:rPr>
        <w:t xml:space="preserve">По итогам 2025 года доля Томской области в совокупном вводе жилья по Сибирскому федеральному округу составила 3,8%.</w:t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итогам 2025 года в Томской области введено 387,9 тыс. кв. м жилья, что составляет 71,0% от годового плана, из них: МКД – 164,2 тыс. кв. м и ИЖС – 223,7 тыс. кв. м.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Почти половина (186,8 тыс. кв. м) из общего объема ввода приходится на Томский район. Индивидуальные застройщики ввели в Томско154,2 тыс. кв. м жилья, в том числе 63,2 тыс. кв. м − в индивидуальных домах.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рейтингу ввода в действие жилых домов в расчете на 1 000 жителей Томская область среди 10 регионов Сибирского федерального округа по итогам 2025 года заняла 9-е место (372,4 кв. м на 1000 жителей).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январь – июнь 2026 года в регионе введено в эксплуатацию жилых помещений 120,4 тыс. кв. м общей площади или 90,9% к уровню 2025 года.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Основной ввод жилья (70,7%) в первом полугодии 2025 года в регионе осуществлялся за счет строительства индивидуальных жилых домов населением – 85,1 тыс. кв. м жилья.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Наибольший объем пришелся на город Томск – 54,3 тыс. кв. м жилья (по сравнению с прошлым годом увеличение на 9,6%) и Томский район – 50,5 тыс. кв. м жилья, что составляет 76,2% по сравнению с аналогичным периодом прошлого года.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Организации-застройщики за 6 месяцев 2026 года построили 35,3 тыс. кв. м жилья – показатель на 17,3% </w:t>
      </w:r>
      <w:r>
        <w:rPr>
          <w:rFonts w:ascii="PT Astra Serif" w:hAnsi="PT Astra Serif"/>
          <w:sz w:val="26"/>
          <w:szCs w:val="26"/>
          <w:highlight w:val="white"/>
        </w:rPr>
        <w:t xml:space="preserve">ниже</w:t>
      </w:r>
      <w:r>
        <w:rPr>
          <w:rFonts w:ascii="PT Astra Serif" w:hAnsi="PT Astra Serif"/>
          <w:sz w:val="26"/>
          <w:szCs w:val="26"/>
          <w:highlight w:val="white"/>
        </w:rPr>
        <w:t xml:space="preserve"> чем в первом полугодии 2025 года.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Активное строительство жилья по национальному проекту «Жилье и городская среда» идёт на территории Томской агломерации: в областном центре, ЗАТО Северск и Томском районе.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Строительные компании региона реализуют крупные инвестиционные проекты комплексной жилой застройки: </w:t>
      </w:r>
      <w:r>
        <w:rPr>
          <w:rFonts w:ascii="PT Astra Serif" w:hAnsi="PT Astra Serif"/>
          <w:sz w:val="26"/>
          <w:szCs w:val="26"/>
        </w:rPr>
        <w:t xml:space="preserve">«Левобережный» (инвестор — ООО «СЗ «</w:t>
      </w:r>
      <w:r>
        <w:rPr>
          <w:rFonts w:ascii="PT Astra Serif" w:hAnsi="PT Astra Serif"/>
          <w:sz w:val="26"/>
          <w:szCs w:val="26"/>
        </w:rPr>
        <w:t xml:space="preserve">Карьероуправление</w:t>
      </w:r>
      <w:r>
        <w:rPr>
          <w:rFonts w:ascii="PT Astra Serif" w:hAnsi="PT Astra Serif"/>
          <w:sz w:val="26"/>
          <w:szCs w:val="26"/>
        </w:rPr>
        <w:t xml:space="preserve">»); «Южные ворота», «Ботаника» (инвестор — ПАО «Томская домостроительная компания»); «Михайловский парк-квартал» (инвестор — АО СЗ «Михайловский парк-квартал-2»), Урбан-квартал «</w:t>
      </w:r>
      <w:r>
        <w:rPr>
          <w:rFonts w:ascii="PT Astra Serif" w:hAnsi="PT Astra Serif"/>
          <w:sz w:val="26"/>
          <w:szCs w:val="26"/>
        </w:rPr>
        <w:t xml:space="preserve">Парапарк</w:t>
      </w:r>
      <w:r>
        <w:rPr>
          <w:rFonts w:ascii="PT Astra Serif" w:hAnsi="PT Astra Serif"/>
          <w:sz w:val="26"/>
          <w:szCs w:val="26"/>
        </w:rPr>
        <w:t xml:space="preserve">» (инвестор – ООО «СЗ </w:t>
      </w:r>
      <w:r>
        <w:rPr>
          <w:rFonts w:ascii="PT Astra Serif" w:hAnsi="PT Astra Serif"/>
          <w:sz w:val="26"/>
          <w:szCs w:val="26"/>
        </w:rPr>
        <w:t xml:space="preserve">Парапарк</w:t>
      </w:r>
      <w:r>
        <w:rPr>
          <w:rFonts w:ascii="PT Astra Serif" w:hAnsi="PT Astra Serif"/>
          <w:sz w:val="26"/>
          <w:szCs w:val="26"/>
        </w:rPr>
        <w:t xml:space="preserve">»), «Квартал 1604» (инвестор – ООО «СЗ Квартал 1604»).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Также на территории города Томска в 2025 году начато строительство новых жилых комплексов: </w:t>
      </w:r>
      <w:r>
        <w:rPr>
          <w:rFonts w:ascii="PT Astra Serif" w:hAnsi="PT Astra Serif"/>
          <w:sz w:val="26"/>
          <w:szCs w:val="26"/>
        </w:rPr>
        <w:t xml:space="preserve">ЖК «Новая Ялта» (инвестор – ООО «СЗ «ЮНИТ»), ЖК «Никольский ключ» (инвестор - ООО СЗ «АКСИОМА», ЖК «</w:t>
      </w:r>
      <w:r>
        <w:rPr>
          <w:rFonts w:ascii="PT Astra Serif" w:hAnsi="PT Astra Serif"/>
          <w:sz w:val="26"/>
          <w:szCs w:val="26"/>
        </w:rPr>
        <w:t xml:space="preserve">RETROcity</w:t>
      </w:r>
      <w:r>
        <w:rPr>
          <w:rFonts w:ascii="PT Astra Serif" w:hAnsi="PT Astra Serif"/>
          <w:sz w:val="26"/>
          <w:szCs w:val="26"/>
        </w:rPr>
        <w:t xml:space="preserve"> 2.0» (инвестор – </w:t>
      </w:r>
      <w:r>
        <w:rPr>
          <w:rFonts w:ascii="PT Astra Serif" w:hAnsi="PT Astra Serif"/>
          <w:sz w:val="26"/>
          <w:szCs w:val="26"/>
        </w:rPr>
        <w:br/>
        <w:t xml:space="preserve">ООО «Сибирские звезды»).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</w:rPr>
        <w:t xml:space="preserve">В 2026 году начато строительство жилого комплекса «1804» на улице Сибирской (</w:t>
      </w:r>
      <w:r>
        <w:rPr>
          <w:rFonts w:ascii="PT Astra Serif" w:hAnsi="PT Astra Serif"/>
          <w:sz w:val="26"/>
          <w:szCs w:val="26"/>
          <w:highlight w:val="white"/>
        </w:rPr>
        <w:t xml:space="preserve">инвестор – ООО «СЗ ТЕХСТРОЙ»).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Всего по оценке в 2026 году будет введено порядка 432,2 тыс. кв. м жилья (79,2% к плановому уров</w:t>
      </w:r>
      <w:r>
        <w:rPr>
          <w:rFonts w:ascii="PT Astra Serif" w:hAnsi="PT Astra Serif"/>
          <w:sz w:val="26"/>
          <w:szCs w:val="26"/>
          <w:highlight w:val="white"/>
        </w:rPr>
        <w:t xml:space="preserve">ню 2026 года и 111,4% к фактическому уровню 2025 года) за счет реализации регионального проекта «Жилье» на территории Томской области, а также оказываемой государственной поддержки, программ комплексного развития территорий города Томска и Томской области.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Состояние первичного р</w:t>
      </w: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ынка жилья в существенной степени обусловлено реализацией государственных программ субсидирования ипотечного кредитования. Прекращение действия с 1 июля 2024 года массовой льготной ипотеки на приобретение жилья в новостройках по ставке 8% годовых, а также </w:t>
      </w:r>
      <w:r>
        <w:rPr>
          <w:rFonts w:ascii="PT Astra Serif" w:hAnsi="PT Astra Serif"/>
          <w:sz w:val="26"/>
          <w:szCs w:val="26"/>
        </w:rPr>
        <w:t xml:space="preserve">высокая стоимость предоставляемых ипотечных кредитов гражданам и займов застройщикам</w:t>
      </w: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 стало серьезным вызовом для девелоперов как на уровне региона, так и в целом по стране. Сохранившиеся адресные программы — семейная ипотека (до 6% </w:t>
      </w: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годовых</w:t>
      </w:r>
      <w:r>
        <w:rPr>
          <w:rFonts w:ascii="PT Astra Serif" w:hAnsi="PT Astra Serif" w:eastAsia="PT Astra Serif" w:cs="PT Astra Serif"/>
          <w:color w:val="0f1115"/>
          <w:sz w:val="26"/>
          <w:szCs w:val="26"/>
          <w:highlight w:val="white"/>
        </w:rPr>
        <w:t xml:space="preserve">), IT-ипотека (до 6% годовых), сельская ипотека (3% годовых) не обеспечивают компенсации указанной меры и не позволяют поддерживать ранее достигнутые темпы жилищного строительства.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2025 год было выдано 6 270 ипотечных кредитов. Сумма выданных ипотечных кредитов – 26,9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          </w:t>
      </w:r>
      <w:r>
        <w:rPr>
          <w:rFonts w:ascii="PT Astra Serif" w:hAnsi="PT Astra Serif"/>
          <w:sz w:val="26"/>
          <w:szCs w:val="26"/>
          <w:highlight w:val="white"/>
        </w:rPr>
        <w:t xml:space="preserve">В 2026 году по базовому сценарию прогнозируется небольшой рост объемов ввода жилья к уровню 2025 года, при этом в 2027 – 2029 годах ожидается рост ввода жилья на 114,5% – 142,1% до 876,0 тыс. кв. м.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Консервативным вариантом Прогноза в 2027 – 2029 годах прогнозируется более умеренный рост ввода жилья 101,8-127,3% (до 600 тыс. кв. м), обусловленный низкой базой 2026 года, а также сокращением потребительского спроса, ростом цен на жилье.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При целевом варианте тем</w:t>
      </w:r>
      <w:r>
        <w:rPr>
          <w:rFonts w:ascii="PT Astra Serif" w:hAnsi="PT Astra Serif"/>
          <w:sz w:val="26"/>
          <w:szCs w:val="26"/>
          <w:highlight w:val="white"/>
        </w:rPr>
        <w:t xml:space="preserve">пы роста ввода жилья в 2027 – 2029 годах составят 114,6% – 142,3% (615 – 880 тыс. кв. м), в том числе за счет более активного строительства и регистрации индивидуальных жилых домов, а также за счет реализации на территории Томской области проекта «Элеонор </w:t>
      </w:r>
      <w:r>
        <w:rPr>
          <w:rFonts w:ascii="PT Astra Serif" w:hAnsi="PT Astra Serif"/>
          <w:sz w:val="26"/>
          <w:szCs w:val="26"/>
          <w:highlight w:val="white"/>
        </w:rPr>
        <w:t xml:space="preserve">Эмеральд</w:t>
      </w:r>
      <w:r>
        <w:rPr>
          <w:rFonts w:ascii="PT Astra Serif" w:hAnsi="PT Astra Serif"/>
          <w:sz w:val="26"/>
          <w:szCs w:val="26"/>
          <w:highlight w:val="white"/>
        </w:rPr>
        <w:t xml:space="preserve"> Смарт Сити» (планируемая площадь строительства жилья 7500 тыс. кв. м).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Дорожное строительство</w:t>
      </w:r>
      <w:r/>
    </w:p>
    <w:p>
      <w:pPr>
        <w:ind w:firstLine="0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По итогам 2025 года протяженность автомобильных дорог общего </w:t>
      </w:r>
      <w:r>
        <w:rPr>
          <w:rFonts w:ascii="PT Astra Serif" w:hAnsi="PT Astra Serif"/>
          <w:sz w:val="26"/>
          <w:szCs w:val="26"/>
        </w:rPr>
        <w:t xml:space="preserve">пользования в Томской области достигла 11 368.9 км, из них протяженность автомобильных дорог общего пользования с твердым покрытием составила 8200 км (федерального – 34,8 км, регионального или межмуниципального – 3428,3 км, местного значения – 4736,9 км). 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2026 году протяженность автомобильных дорог общего пользования с твердым покрытием, по оценке, сохранится на уровне 2025 года – 8200 км.</w:t>
      </w:r>
      <w:r/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В период с 2023 года ведется строительство объекта «Строительство  автомобильной дороги Малое транспортное кольцо г. Томска на участке </w:t>
      </w:r>
      <w:r>
        <w:rPr>
          <w:rFonts w:ascii="PT Astra Serif" w:hAnsi="PT Astra Serif"/>
          <w:sz w:val="26"/>
          <w:szCs w:val="26"/>
        </w:rPr>
        <w:t xml:space="preserve">км</w:t>
      </w:r>
      <w:r>
        <w:rPr>
          <w:rFonts w:ascii="PT Astra Serif" w:hAnsi="PT Astra Serif"/>
          <w:sz w:val="26"/>
          <w:szCs w:val="26"/>
        </w:rPr>
        <w:t xml:space="preserve"> 0 – км 5», реализация которого направлена на перенаправление транзитного транспорта в обход городской улично-дорожной сети, а также позв</w:t>
      </w:r>
      <w:r>
        <w:rPr>
          <w:rFonts w:ascii="PT Astra Serif" w:hAnsi="PT Astra Serif"/>
          <w:sz w:val="26"/>
          <w:szCs w:val="26"/>
        </w:rPr>
        <w:t xml:space="preserve">олит обеспечить транспортную доступность пригородного микрорайона Южные Ворота, где проживают более 10 тыс. человек. К 2029 году протяженность автомобильных дорог общего пользования с твердым покрытием, по оценке, увеличится на 4,1 км и составит 8204,1 км.</w:t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  <w:u w:val="single"/>
        </w:rPr>
        <w:t xml:space="preserve">Региональный проект «Региональная и местная дорожная сеть»</w:t>
      </w:r>
      <w:r>
        <w:rPr>
          <w:rFonts w:ascii="PT Astra Serif" w:hAnsi="PT Astra Serif"/>
          <w:sz w:val="26"/>
          <w:szCs w:val="26"/>
          <w:u w:val="single"/>
        </w:rPr>
      </w:r>
      <w:r>
        <w:rPr>
          <w:rFonts w:ascii="PT Astra Serif" w:hAnsi="PT Astra Serif"/>
          <w:sz w:val="26"/>
          <w:szCs w:val="26"/>
          <w:u w:val="singl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2025 году в рамках регионального проекта: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1) проведены ремонтные работы на 28 участках автомобильных дорог общей протяженностью 157,3 километров (план – 127,9 километров), в том числе: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− на региональных автомобильных дорогах отремонтировано 20,778 километров;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− в «ЗАТО Северск» отремонтировано 1,969 километров;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− в г. Томске отремонтировано 17,838 километров;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− на региональных и межмуниципальных дорогах, не входящих в агломерацию отремонтировано 116,673 километра;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2) завершены основные работы по ремонту мостового перехода (северный мост) через р. Томь на </w:t>
      </w:r>
      <w:r>
        <w:rPr>
          <w:rFonts w:ascii="PT Astra Serif" w:hAnsi="PT Astra Serif"/>
          <w:sz w:val="26"/>
          <w:szCs w:val="26"/>
        </w:rPr>
        <w:t xml:space="preserve">км</w:t>
      </w:r>
      <w:r>
        <w:rPr>
          <w:rFonts w:ascii="PT Astra Serif" w:hAnsi="PT Astra Serif"/>
          <w:sz w:val="26"/>
          <w:szCs w:val="26"/>
        </w:rPr>
        <w:t xml:space="preserve"> 6+000 автомобильной дороги Объездная дорога г. Томска в Томском районе;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3) начаты работы по ремонту мостового перехода через р. Кию;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4) начаты работы по ремонту мостового перехода через р. Чая на км 275+</w:t>
      </w:r>
      <w:r>
        <w:rPr>
          <w:rFonts w:ascii="PT Astra Serif" w:hAnsi="PT Astra Serif"/>
          <w:sz w:val="26"/>
          <w:szCs w:val="26"/>
        </w:rPr>
        <w:t xml:space="preserve">355</w:t>
      </w:r>
      <w:r>
        <w:rPr>
          <w:rFonts w:ascii="PT Astra Serif" w:hAnsi="PT Astra Serif"/>
          <w:sz w:val="26"/>
          <w:szCs w:val="26"/>
        </w:rPr>
        <w:t xml:space="preserve"> а/д Томск - Каргала – Колпашево в </w:t>
      </w:r>
      <w:r>
        <w:rPr>
          <w:rFonts w:ascii="PT Astra Serif" w:hAnsi="PT Astra Serif"/>
          <w:sz w:val="26"/>
          <w:szCs w:val="26"/>
        </w:rPr>
        <w:t xml:space="preserve">Колпашевском</w:t>
      </w:r>
      <w:r>
        <w:rPr>
          <w:rFonts w:ascii="PT Astra Serif" w:hAnsi="PT Astra Serif"/>
          <w:sz w:val="26"/>
          <w:szCs w:val="26"/>
        </w:rPr>
        <w:t xml:space="preserve"> р-не; 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4.6. Рынок товаров и услуг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Розничная торговля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Оборот розничной торговли за 2025 год составил 361,1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или 101,2% к прошлому году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Доля сегмента непродовольственных товаров (51,4%) в обороте розничной торговли, как и в предыдущий период, превышает объем продаж пищевых продуктов (48,6%).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Рост к уровню 2024 года демонстрирует как оборот розничной торговли пищевыми продуктами (101,8%), так и оборот розничной торговли непродовольственными товарами (103,8%). В 2025 году положительная динамика оборота рознично</w:t>
      </w:r>
      <w:r>
        <w:rPr>
          <w:rFonts w:ascii="PT Astra Serif" w:hAnsi="PT Astra Serif"/>
          <w:sz w:val="26"/>
          <w:szCs w:val="26"/>
          <w:highlight w:val="white"/>
        </w:rPr>
        <w:t xml:space="preserve">й торговли сложилась практически по всем формам хозяйствования: по крупным организациям и субъектам среднего предпринимательства с основным видом деятельности «розничная торговля» ИФО составил 105,3% и 115,9% соответственно; по малым предприятиям (включая </w:t>
      </w:r>
      <w:r>
        <w:rPr>
          <w:rFonts w:ascii="PT Astra Serif" w:hAnsi="PT Astra Serif"/>
          <w:sz w:val="26"/>
          <w:szCs w:val="26"/>
          <w:highlight w:val="white"/>
        </w:rPr>
        <w:t xml:space="preserve">микропредприятия</w:t>
      </w:r>
      <w:r>
        <w:rPr>
          <w:rFonts w:ascii="PT Astra Serif" w:hAnsi="PT Astra Serif"/>
          <w:sz w:val="26"/>
          <w:szCs w:val="26"/>
          <w:highlight w:val="white"/>
        </w:rPr>
        <w:t xml:space="preserve">) – 102%.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Снижение оборота розничной торговли зафиксировано по индивидуальным предпринимателям, реализующим товары вне рынка и ярмарки – 98,8% и на розничных рынках и ярмарках – ИФО составил 62,6%.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итогам 2025 года оборот розничной торговли на 99,1% формировался торгующими организациями и индивидуальными предпринимателями, осуществляющими деятельность вне рынка. Доля продажи товаров на розничных рынках и ярмарках составила 0,9%.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Значительный рост розничных продаж (по крупным и средним организациям)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к уровню прошлого года зафиксирован на следующие группы товаров: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лекарственные средства – ИФО 205,6%, доля 2,9%</w:t>
      </w:r>
      <w:r>
        <w:rPr>
          <w:rFonts w:ascii="PT Astra Serif" w:hAnsi="PT Astra Serif"/>
          <w:szCs w:val="26"/>
          <w:highlight w:val="white"/>
        </w:rPr>
        <w:t xml:space="preserve"> </w:t>
      </w:r>
      <w:r>
        <w:rPr>
          <w:rFonts w:ascii="PT Astra Serif" w:hAnsi="PT Astra Serif"/>
          <w:sz w:val="26"/>
          <w:szCs w:val="26"/>
          <w:highlight w:val="white"/>
        </w:rPr>
        <w:t xml:space="preserve">(рост продаж обусловлен выбором более дорогих и эффективных препаратов); 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автомобили легковые – ИФО 166,6%, доля 1,9% (рост </w:t>
      </w:r>
      <w:r>
        <w:rPr>
          <w:rFonts w:ascii="PT Astra Serif" w:hAnsi="PT Astra Serif"/>
          <w:sz w:val="26"/>
          <w:szCs w:val="26"/>
          <w:highlight w:val="white"/>
        </w:rPr>
        <w:t xml:space="preserve">продаж</w:t>
      </w:r>
      <w:r>
        <w:rPr>
          <w:rFonts w:ascii="PT Astra Serif" w:hAnsi="PT Astra Serif"/>
          <w:sz w:val="26"/>
          <w:szCs w:val="26"/>
          <w:highlight w:val="white"/>
        </w:rPr>
        <w:t xml:space="preserve"> в том числе на фоне анонсирования ужесточения с 1 декабря 2025 года правил расчета утилизационного сбора);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хлеб и хлебобулочные изделия – ИФО 111%, доля 2,1% (рост продаж обусловлен структурными сдвигами в потребительских предпочтениях);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продукты из мяса и мяса птицы – ИФО 108,6%, доля - 4,1% (рост продаж обусловлен изменением структуры спроса в пользу более доступных видов мяса). </w:t>
      </w:r>
      <w:r>
        <w:rPr>
          <w:rFonts w:ascii="PT Astra Serif" w:hAnsi="PT Astra Serif"/>
          <w:highlight w:val="white"/>
        </w:rPr>
      </w:r>
      <w:r>
        <w:rPr>
          <w:rFonts w:ascii="PT Astra Serif" w:hAnsi="PT Astra Serif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Продолжает набирать популярность онлайн торговля. Так, по итогам 2025 года товарооборот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маркетплейсов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на территории Томской области вырос относительно прошлого года на 25% (или на 8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млрд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руб.).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PT Astra Serif" w:cs="PT Astra Serif"/>
          <w:color w:val="000000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В январе - апреле 2026 года положительная динамика оборота розничной торговли сохранилась, ИФО составил 104,2% к аналогичному периоду прошлого года с розничным товарооборотом в текущих ценах 120,6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млрд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рублей. </w:t>
      </w:r>
      <w:r>
        <w:rPr>
          <w:rFonts w:ascii="PT Astra Serif" w:hAnsi="PT Astra Serif" w:eastAsia="PT Astra Serif" w:cs="PT Astra Serif"/>
          <w:color w:val="000000"/>
          <w:szCs w:val="26"/>
        </w:rPr>
      </w:r>
      <w:r>
        <w:rPr>
          <w:rFonts w:ascii="PT Astra Serif" w:hAnsi="PT Astra Serif" w:eastAsia="PT Astra Serif" w:cs="PT Astra Serif"/>
          <w:color w:val="000000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До конца 2026 года в розничной торговле ожидается сохранение положительной динамики – индекс физического объема оценивается на уровне 102,3%.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В среднесрочной перспективе сохранению потребительского спроса будет способствовать рост денежных доходов населения – в 2027 – 2029 годах базовый вариант Прогноза предусматривает положительную динамику реальных располагаемых доходов и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достижение инфляции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таргетируемого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уровня, установленного Банком России (104,0% (декабрь к декабрю предыдущего года), что окажет поддержку обороту розничной торговли. В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результате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, будет наблюдаться рост потребительского спроса с ежегодным увеличением темпов оборота розничной торговли в пределах +2,3 - +3,4% в периоде 2027 - 2029 годов по базовому варианту. </w:t>
      </w:r>
      <w:r>
        <w:rPr>
          <w:rFonts w:ascii="PT Astra Serif" w:hAnsi="PT Astra Serif" w:eastAsia="PT Astra Serif" w:cs="PT Astra Serif"/>
          <w:color w:val="000000"/>
        </w:rPr>
      </w:r>
      <w:r>
        <w:rPr>
          <w:rFonts w:ascii="PT Astra Serif" w:hAnsi="PT Astra Serif" w:eastAsia="PT Astra Serif" w:cs="PT Astra Serif"/>
          <w:color w:val="000000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color w:val="000000"/>
          <w:szCs w:val="26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В консервативном варианте прогноза 2027-2029 годов ожидаемые темпы роста – 100,6 - 101,5%.</w:t>
      </w:r>
      <w:r>
        <w:rPr>
          <w:rFonts w:ascii="PT Astra Serif" w:hAnsi="PT Astra Serif"/>
          <w:color w:val="000000"/>
          <w:szCs w:val="26"/>
          <w:highlight w:val="white"/>
        </w:rPr>
        <w:t xml:space="preserve"> </w:t>
      </w:r>
      <w:r>
        <w:rPr>
          <w:rFonts w:ascii="PT Astra Serif" w:hAnsi="PT Astra Serif"/>
          <w:color w:val="000000"/>
          <w:szCs w:val="26"/>
          <w:highlight w:val="white"/>
        </w:rPr>
      </w:r>
      <w:r>
        <w:rPr>
          <w:rFonts w:ascii="PT Astra Serif" w:hAnsi="PT Astra Serif"/>
          <w:color w:val="000000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Платные услуги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Населению Томской области в 2025 году оказано платных услуг на сумму 80,5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рублей, что в сопоставимых ценах к предыдущему году составило 99,3%.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Наиболее востребованными платными услугами в Томской области за период 2025 года по-прежнему остаются: коммунальные (доля – 30,6%), телекоммуникационные (доля – 12,6%), бытовые (доля – 11,9%) и медицинские услуги (доля – 10,9%).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итогам 2025 года: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коммунальных услуг, оказанных населению, составил 21,8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с индексом физического объема 97,5%. Снижение объема их реализации обусловлен погодными условиями, температурой наружного воздуха и продолжительностью отопительного сезона;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телекоммуникационных услуг составил 11,2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с индексом физического объема 100,4%. Рост показателя обусловлен расширением перечня услуг.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увеличение количества обращений в коммерческие медицинские учреждения, а также появление новых видов услуг, оказываемых медицинскими лабораториями, повлияли на объем медицинских услуг, который составил 9,1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(ИФО 104,8%).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объем бытовых услуг, оказанных населению региона, составил – 10 </w:t>
      </w:r>
      <w:r>
        <w:rPr>
          <w:rFonts w:ascii="PT Astra Serif" w:hAnsi="PT Astra Serif"/>
          <w:sz w:val="26"/>
          <w:szCs w:val="26"/>
          <w:highlight w:val="white"/>
        </w:rPr>
        <w:t xml:space="preserve">млрд</w:t>
      </w:r>
      <w:r>
        <w:rPr>
          <w:rFonts w:ascii="PT Astra Serif" w:hAnsi="PT Astra Serif"/>
          <w:sz w:val="26"/>
          <w:szCs w:val="26"/>
          <w:highlight w:val="white"/>
        </w:rPr>
        <w:t xml:space="preserve"> рублей (ИФО 1</w:t>
      </w:r>
      <w:r>
        <w:rPr>
          <w:rFonts w:ascii="PT Astra Serif" w:hAnsi="PT Astra Serif"/>
          <w:sz w:val="26"/>
          <w:szCs w:val="26"/>
          <w:highlight w:val="white"/>
        </w:rPr>
        <w:t xml:space="preserve">03,6%). Положительная динамика свидетельствует о восстановлении потребительского спроса. На годовое значение показателя оказали влияние ремонт и строительство жилья и других построек (доля 34,4%, ИФО 103,1%), парикмахерские услуги (доля 10,6%, ИФО 105,7%).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текущем году наблюдается положительная динамика объема платных услуг населению.</w:t>
      </w:r>
      <w:r>
        <w:rPr>
          <w:rFonts w:ascii="PT Astra Serif" w:hAnsi="PT Astra Serif"/>
          <w:sz w:val="26"/>
          <w:szCs w:val="26"/>
          <w:highlight w:val="white"/>
        </w:rPr>
        <w:t xml:space="preserve"> По итогам четырех месяцев объем оказанных услуг населению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к аналогичному периоду прошлого года составил 101,7%.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Рост объема оказанных услуг отмечается: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коммунальным услугам (ИФО – 103,9%), доля в общем объеме платных услуг населению – 32,3%;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телекоммуникационным услугам (ИФО – 112,2%), доля в общем объеме платных услуг населению – 13,1%;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бытовым услугам (ИФО – 104,3%), доля в общем объеме платных услуг населению – 11,4%;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по транспортным услугам (ИФО – 103,4%), доля в общем объеме платных услуг населению – 5,8%. </w:t>
      </w:r>
      <w:r>
        <w:rPr>
          <w:lang w:eastAsia="ru-RU"/>
        </w:rPr>
      </w:r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До конца 2026 года ожидается сохранение положительной динамики объема платных услуг населению на уровне 102,1%.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До 2029 года в структуре платных услуг изменения будут незначительны. Вариативность прогноза будет обеспечена сохранением уровня потребительской активности и развития следующих факторов: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- укрепление российской экономики на фоне реализации комплекса мер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по стабилизации ситуации;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внедрение новых форм обслуживания населения;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расширение перечня оказываемых услуг;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повышение качества оказываемых услуг;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– рост доходов населения.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базовому варианту прогноза по платным услугам населению ожидается рост со стабильным темпом от 1,1% в 2027 году до 2,3% в 2029 году. Прирост объема платных услуг населению Томской области в 2029 году к уровню 2025 года прогнозируется на уровне 10,9%.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Прогнозные темпы роста по консервативному варианту – от 0,1% в 2027 году до 1,0% в 2029 году, по целевому - от 3,4% в 2027 году до 3,2% в 2029 году.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jc w:val="both"/>
        <w:spacing w:after="120" w:line="240" w:lineRule="auto"/>
      </w:pPr>
      <w:r>
        <w:rPr>
          <w:rFonts w:ascii="PT Astra Serif" w:hAnsi="PT Astra Serif"/>
          <w:color w:val="96c8be"/>
          <w:sz w:val="26"/>
          <w:szCs w:val="26"/>
          <w:lang w:eastAsia="ru-RU"/>
        </w:rPr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Инфляция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rFonts w:ascii="PT Astra Serif" w:hAnsi="PT Astra Serif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итогам 2025 года (декабрь 2025 к декабрю 2024 года) уровень инфляции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Томской области составил  105,6%, что соответствует уровню, который сложился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в целом по России, при этом по СФО Томская область вошла в тройку регионов </w:t>
      </w:r>
      <w:r>
        <w:rPr>
          <w:rFonts w:ascii="PT Astra Serif" w:hAnsi="PT Astra Serif"/>
          <w:sz w:val="26"/>
          <w:szCs w:val="26"/>
          <w:highlight w:val="white"/>
        </w:rPr>
        <w:br/>
        <w:t xml:space="preserve">с наименьшими значениями показателя индекса потребительских цен (после Республики Алтай и Омской области).</w:t>
      </w:r>
      <w:r>
        <w:rPr>
          <w:rFonts w:ascii="PT Astra Serif" w:hAnsi="PT Astra Serif"/>
          <w:szCs w:val="26"/>
          <w:highlight w:val="white"/>
        </w:rPr>
      </w:r>
      <w:r>
        <w:rPr>
          <w:rFonts w:ascii="PT Astra Serif" w:hAnsi="PT Astra Serif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Значение показателя среднегодового уровня инфляции в Томской области составило 108,8%, превысив общероссийский уровень (108,7%).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Наибольший вклад в инфляцию в регионе внес рост цен на услуги – рост на 7,9</w:t>
      </w:r>
      <w:r>
        <w:rPr>
          <w:rFonts w:ascii="PT Astra Serif" w:hAnsi="PT Astra Serif"/>
          <w:sz w:val="26"/>
          <w:szCs w:val="26"/>
          <w:highlight w:val="white"/>
        </w:rPr>
        <w:t xml:space="preserve">% (коммунальные услуги (+12,5%), услуги городского пассажирского транспорта (+11,6), медицинские услуги (+9,8%)) и группа продовольственных товаров - повышение на 7,6% (алкогольные напитки (+17%), хлеб и хлебобулочные изделия (+12%), мясопродукты(+9,3%)).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Цены на непродовольственные товары увеличились на 2,1% (парфюмерно-косметические средства (+9,9%), бензин автомобильный (+9,6%), медицинские товары (+8,9%).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2025 году ускорение инфляции связано с р</w:t>
      </w:r>
      <w:r>
        <w:rPr>
          <w:rFonts w:ascii="PT Astra Serif" w:hAnsi="PT Astra Serif"/>
          <w:sz w:val="26"/>
          <w:szCs w:val="26"/>
          <w:highlight w:val="white"/>
        </w:rPr>
        <w:t xml:space="preserve">остом издержек производителей и поставщиков на фоне ослабления рубля, возросшей кредитной нагрузки с учетом сохраняющейся высокой ключевой ставки Банком России, роста тарифов. Эффект переноса возросших издержек бизнеса в цены наблюдался до конца 2025 года.</w:t>
      </w:r>
      <w:r>
        <w:rPr>
          <w:rFonts w:ascii="PT Astra Serif" w:hAnsi="PT Astra Serif"/>
          <w:szCs w:val="26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пять месяцев 2026 года к декабрю 2024 года инфляция на потребительском рынке Томской области сложилась на уровне 103,7% (за 5 месяцев 2024 года – 103,8%).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На фоне проводимой кредитно-денежной поли</w:t>
      </w:r>
      <w:r>
        <w:rPr>
          <w:rFonts w:ascii="PT Astra Serif" w:hAnsi="PT Astra Serif"/>
          <w:sz w:val="26"/>
          <w:szCs w:val="26"/>
          <w:highlight w:val="white"/>
        </w:rPr>
        <w:t xml:space="preserve">тики, а также с учетом складывающихся внутренних условий в России в целом и в Томской области в частности,  по итогам 2026 года ожидаемый уровень инфляции в базовом варианте – 105,5% (декабрь к декабрю предыдущего года) и 105,6% в среднегодовом выражении,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2027 году по базовому варианту ожидается постепенное снижение инфляции и достижение с 2028 года </w:t>
      </w:r>
      <w:r>
        <w:rPr>
          <w:rFonts w:ascii="PT Astra Serif" w:hAnsi="PT Astra Serif"/>
          <w:sz w:val="26"/>
          <w:szCs w:val="26"/>
          <w:highlight w:val="white"/>
        </w:rPr>
        <w:t xml:space="preserve">таргетируемого</w:t>
      </w:r>
      <w:r>
        <w:rPr>
          <w:rFonts w:ascii="PT Astra Serif" w:hAnsi="PT Astra Serif"/>
          <w:sz w:val="26"/>
          <w:szCs w:val="26"/>
          <w:highlight w:val="white"/>
        </w:rPr>
        <w:t xml:space="preserve"> уровня, установленного Банком России (104,0% (декабрь к декабрю предыдущего года).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none"/>
        </w:rPr>
      </w:pPr>
      <w:r>
        <w:rPr>
          <w:rFonts w:ascii="PT Astra Serif" w:hAnsi="PT Astra Serif"/>
          <w:sz w:val="26"/>
          <w:szCs w:val="26"/>
        </w:rPr>
        <w:t xml:space="preserve">В консервативном варианте прогноз уровня инфляции </w:t>
      </w:r>
      <w:r>
        <w:rPr>
          <w:rFonts w:ascii="PT Astra Serif" w:hAnsi="PT Astra Serif"/>
          <w:sz w:val="26"/>
          <w:szCs w:val="26"/>
          <w:highlight w:val="white"/>
        </w:rPr>
        <w:t xml:space="preserve">(декабрь к декабрю предыдущего года)</w:t>
      </w:r>
      <w:r>
        <w:rPr>
          <w:rFonts w:ascii="PT Astra Serif" w:hAnsi="PT Astra Serif"/>
          <w:sz w:val="26"/>
          <w:szCs w:val="26"/>
        </w:rPr>
        <w:t xml:space="preserve"> в 2027 году 104,7%, в 2028 году - 104,3%, в 2029 году - 104,2%., в целевом варианте - 104,3%, 104,0%, 104,% соответственно.</w:t>
      </w: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non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none"/>
        </w:rPr>
      </w:r>
      <w:r>
        <w:rPr>
          <w:rFonts w:ascii="PT Astra Serif" w:hAnsi="PT Astra Serif"/>
          <w:sz w:val="26"/>
          <w:szCs w:val="26"/>
          <w:highlight w:val="yellow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4.7. Малое и среднее предпринимательство</w:t>
      </w:r>
      <w:r/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Малый и средний бизнес (далее – МСП)  является одним из важнейших элементов экономики Томской области.  Доля МСП в ВРП ТО по итогам 2024 года составила 25,1%, в СФО аналогичный показатель – 22,4%. По РФ доля МСП в ВВП по итогам 2024 года составила 21,1%.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highlight w:val="yellow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По итогам 2025 года около 86% всех хозяйствующих субъектов составляли субъекты МСП.</w:t>
      </w:r>
      <w:r>
        <w:rPr>
          <w:rFonts w:ascii="PT Astra Serif" w:hAnsi="PT Astra Serif" w:eastAsia="Times New Roman" w:cs="Times New Roman"/>
          <w:sz w:val="26"/>
          <w:szCs w:val="26"/>
          <w:highlight w:val="yellow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highlight w:val="yellow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2025 году малый бизнес продолжал развиваться в неблагоприятной экономической и политической обстановке, связанной в первую очередь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с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санкционными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ограничениями. Ключевой тренд  поляризация: компании, успешно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интегрировавшиеся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в новые цепочки создания стоимости и освоившие господдержку, показали рост, в то время как бизнесы, зависимые от импорта 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несырьевого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экспорта, столкнулись со значительными трудностями. Условия развития определялись комплексом вызовов (высокая стоимость денег, инфляционное давление, кадровый дефицит) и стимулов (меры государственной поддержки,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импортозамещение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рост внутреннего спроса).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Основным сдерживающим фактором оставалась высокая ключевая ставка ЦБ РФ (21% вплоть до июня 2025). Как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следствие денежно-кредитной политики – дорогие кредиты для МСП. Однако в течение 2025 года Банк России последовательно, но осторожно смягчал условия по ключевой ставке. Курс на снижение ставки ЦБ продолжился и в 2026 году. По состоянию на 27.07.2028 – 14%.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Arial"/>
          <w:sz w:val="26"/>
          <w:szCs w:val="26"/>
          <w:lang w:eastAsia="ru-RU"/>
        </w:rPr>
      </w:pPr>
      <w:r>
        <w:rPr>
          <w:rFonts w:ascii="PT Astra Serif" w:hAnsi="PT Astra Serif" w:eastAsia="Times New Roman" w:cs="Arial"/>
          <w:sz w:val="26"/>
          <w:szCs w:val="26"/>
          <w:lang w:eastAsia="ru-RU"/>
        </w:rPr>
        <w:t xml:space="preserve">Количество субъектов МСП за 2025 год увеличилось на 1457 ед. (+3,5%) </w:t>
      </w:r>
      <w:r>
        <w:rPr>
          <w:rFonts w:ascii="PT Astra Serif" w:hAnsi="PT Astra Serif" w:eastAsia="Times New Roman" w:cs="Arial"/>
          <w:sz w:val="26"/>
          <w:szCs w:val="26"/>
          <w:lang w:eastAsia="ru-RU"/>
        </w:rPr>
        <w:br/>
        <w:t xml:space="preserve">и по состоянию на 10.01.2026 составило 42 722 ед. (на 10.01.2025 – 41 265 ед.). </w:t>
      </w:r>
      <w:r>
        <w:rPr>
          <w:rFonts w:ascii="PT Astra Serif" w:hAnsi="PT Astra Serif" w:eastAsia="Times New Roman" w:cs="Arial"/>
          <w:sz w:val="26"/>
          <w:szCs w:val="26"/>
          <w:lang w:eastAsia="ru-RU"/>
        </w:rPr>
      </w:r>
      <w:r>
        <w:rPr>
          <w:rFonts w:ascii="PT Astra Serif" w:hAnsi="PT Astra Serif" w:eastAsia="Times New Roman" w:cs="Arial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iCs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iCs/>
          <w:sz w:val="26"/>
          <w:szCs w:val="26"/>
          <w:lang w:eastAsia="ru-RU"/>
        </w:rPr>
        <w:t xml:space="preserve">При этом количество ИП выросло на 1855 ед., а количество юр. лиц уменьшилось на 398 ед.</w:t>
      </w:r>
      <w:r>
        <w:rPr>
          <w:rFonts w:ascii="PT Astra Serif" w:hAnsi="PT Astra Serif" w:eastAsia="Times New Roman" w:cs="Times New Roman"/>
          <w:iCs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iCs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96,5% субъектов МСП в Томской области составляют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микропредприятия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которые, как правило, не имеют финансовой подушки безопасности и оказываются неподготовленными к кризисным ситуациям, что делает их более уязвимыми.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 количеству хозяйствующих субъектов в разрезе отраслей значительную долю по итогам 202</w:t>
      </w:r>
      <w:r>
        <w:rPr>
          <w:rFonts w:ascii="PT Astra Serif" w:hAnsi="PT Astra Serif" w:eastAsia="Calibri" w:cs="Times New Roman"/>
          <w:sz w:val="26"/>
          <w:szCs w:val="26"/>
        </w:rPr>
        <w:t xml:space="preserve">5 года, как и в 2024 году, заняли «торговля оптовая и розничная» – 30,5%, «транспортировка и хранение» – 10,7%, «строительство» – около 9,3%. Наибольший прирост количества субъектов МСП в 2025 году зафиксирован в следующих видах экономической деятельности: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обрабатывающие производства +5,6%;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обеспечение электрической энергией, газом и паром, кондиционирование воздуха +4,6%;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водоснабжение, водоотведение, организация сбора и утилизации отходов, деятельность по ликвидации загрязнений +7,8%.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Общий оборот сектора МСП по итогам 2025 года составил 762,3 млрд. рублей (+17,2% к 2024 году).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Существенный рост оборота отмечался в административной деятельности и сопутствующих дополнительных услугах 136,4%, деятельности в области информации и связи 108,3%  у индивидуальных предпринимателей;  оптовой и розничной торговле 118,4% у </w:t>
      </w:r>
      <w:r>
        <w:rPr>
          <w:rFonts w:ascii="PT Astra Serif" w:hAnsi="PT Astra Serif" w:eastAsia="Calibri" w:cs="Times New Roman"/>
          <w:sz w:val="26"/>
          <w:szCs w:val="26"/>
        </w:rPr>
        <w:t xml:space="preserve">микропредприятий</w:t>
      </w:r>
      <w:r>
        <w:rPr>
          <w:rFonts w:ascii="PT Astra Serif" w:hAnsi="PT Astra Serif" w:eastAsia="Calibri" w:cs="Times New Roman"/>
          <w:sz w:val="26"/>
          <w:szCs w:val="26"/>
        </w:rPr>
        <w:t xml:space="preserve"> юридических лиц.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При росте количества субъектов МСП отмечается сокращение численности работников предприятий малого и среднего бизнеса (включая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микропредприятия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и ИП). Темп роста по итогам 2025 года составил 98%.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0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Снижение численности работников в предпринимательском секторе связано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с</w:t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  <w:t xml:space="preserve"> общим сокращением трудоспособного населения (-2,7 тыс. человек),</w:t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  <w:t xml:space="preserve"> перераспределением рабочей силы между отраслями и компаниями, в том числе оттоком на предприятия оборонной промышленности, в самостоятельную профессиональную деятельность (с 1 января 2025 г. по 1  января 2026 – 1126 чел. сменили статус ИП на </w:t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  <w:t xml:space="preserve">самозанятых</w:t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  <w:t xml:space="preserve">). Также влияние оказывает и межрегиональная миграция трудоспособного населения, которая выросла по сравнению с АППГ почти в 3 раза (январь – декабрь 2025 года характеризуется убылью на 168 человек).</w:t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0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 итогам первого полугодия 2026 года также наблюдается тенденция сокращения среднесписочной численности работников предприятий малых и средних предприятий, включая </w:t>
      </w:r>
      <w:r>
        <w:rPr>
          <w:rFonts w:ascii="PT Astra Serif" w:hAnsi="PT Astra Serif" w:eastAsia="Calibri" w:cs="Times New Roman"/>
          <w:sz w:val="26"/>
          <w:szCs w:val="26"/>
        </w:rPr>
        <w:t xml:space="preserve">микропредприятия</w:t>
      </w:r>
      <w:r>
        <w:rPr>
          <w:rFonts w:ascii="PT Astra Serif" w:hAnsi="PT Astra Serif" w:eastAsia="Calibri" w:cs="Times New Roman"/>
          <w:sz w:val="26"/>
          <w:szCs w:val="26"/>
        </w:rPr>
        <w:t xml:space="preserve">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 состоянию на 31.12.2025 количество </w:t>
      </w:r>
      <w:r>
        <w:rPr>
          <w:rFonts w:ascii="PT Astra Serif" w:hAnsi="PT Astra Serif" w:eastAsia="Calibri" w:cs="Times New Roman"/>
          <w:sz w:val="26"/>
          <w:szCs w:val="26"/>
        </w:rPr>
        <w:t xml:space="preserve">самозанятых</w:t>
      </w:r>
      <w:r>
        <w:rPr>
          <w:rFonts w:ascii="PT Astra Serif" w:hAnsi="PT Astra Serif" w:eastAsia="Calibri" w:cs="Times New Roman"/>
          <w:sz w:val="26"/>
          <w:szCs w:val="26"/>
        </w:rPr>
        <w:t xml:space="preserve"> граждан, зафиксировавших свой статус и применяющих специальный налоговый режим «Налог на профессиональный доход», составило 101 262 чел. По сравнению с аналогичным периодом 2024 года общее количество </w:t>
      </w:r>
      <w:r>
        <w:rPr>
          <w:rFonts w:ascii="PT Astra Serif" w:hAnsi="PT Astra Serif" w:eastAsia="Calibri" w:cs="Times New Roman"/>
          <w:sz w:val="26"/>
          <w:szCs w:val="26"/>
        </w:rPr>
        <w:t xml:space="preserve">самозанятых</w:t>
      </w:r>
      <w:r>
        <w:rPr>
          <w:rFonts w:ascii="PT Astra Serif" w:hAnsi="PT Astra Serif" w:eastAsia="Calibri" w:cs="Times New Roman"/>
          <w:sz w:val="26"/>
          <w:szCs w:val="26"/>
        </w:rPr>
        <w:t xml:space="preserve"> увеличилось на 22 373 единицу (+28,4%).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Темпы роста числа </w:t>
      </w:r>
      <w:r>
        <w:rPr>
          <w:rFonts w:ascii="PT Astra Serif" w:hAnsi="PT Astra Serif" w:eastAsia="Calibri" w:cs="Times New Roman"/>
          <w:sz w:val="26"/>
          <w:szCs w:val="26"/>
        </w:rPr>
        <w:t xml:space="preserve">самозанятых</w:t>
      </w:r>
      <w:r>
        <w:rPr>
          <w:rFonts w:ascii="PT Astra Serif" w:hAnsi="PT Astra Serif" w:eastAsia="Calibri" w:cs="Times New Roman"/>
          <w:sz w:val="26"/>
          <w:szCs w:val="26"/>
        </w:rPr>
        <w:t xml:space="preserve"> по Томской области по итогам июня 2025 года опережают темпы роста по России за аналогичный период: 125,1% и 122,4% соответственно.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2026 году малый и средний бизнес в качестве стратегии адаптации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к сложным экономическим условиям (прежде всего к новым правилам налогообложения) пересматривает инвестиционные планы, осваивает новые рынки сбыта и новые виды продукции.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Томской области, в том числе благодаря реализуемой региональной экономической политике и поддержке федерального центра, сектор МСП характеризуется относительной стабильностью, массовые сокращения работников не зафиксированы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Поддержка субъектов МСП предоставляется по различным каналам: через инфраструктуру поддержки предпринимательства (НО «Фонд развития бизнеса», Центр поддержки экспорта НО «Фонд развития би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знеса», АНО «Центр инжиниринга и инноваций Томской области», ООО «Гарантийный фонд Томской области», Союз «Торгово-промышленная палата Томской области», муниципальные центры поддержки предпринимательства, бизнес-инкубаторы, государственные (муниципальные)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микрофинансовые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организации), органы местного самоуправления, исполнительные органы государственной власти Томской области.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2025 году на создание благоприятных усло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вий для ведения предпринимательской деятельности и поддержку субъектов МСП, а также лиц, желающих начать открыть собственное дело, из областного и федерального бюджетов было выделено 118,3 млн. рублей, в том числе из регионального бюджета - 87,2 млн. руб.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2025 году Центром «Мой бизнес» проведены следующие мероприятия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по поддержке предпринимателей: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- 13 обучающих программ «Мама-предприниматель», 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СВОй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бизнес», «Бизнес как спорт», «Значимый бизнес», «Серебряный старт», «Основы предпринимательства», «Азбука предпринимателя», «Твоя стратегия развития». Количество участников - 284 человека;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- 203 семинара по различным вопросам предпринимательской деятельности. Количество участников - 3048 человек;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три Межмуниципальных форума «Мой бизнес – 2025», форумы «Мой бизнес – 2025» (ко Дню российского предпринимательства), «Выбирай своё. Сделано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в Томской области», «Форум для социальных предпринимателей «Бизнес от сердца», «Итоговый форум «Мой Бизнес-2025», Форум «Мой добрый бизнес». Количество участников - 580 человек.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Организовано: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предоставление 418 услуг субъектам МСП по таким направлениям, как продвижение и реклама продукции в системе 2ГИС 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мессенджере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Telegram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регистрация товарного знака, содействие в сертификации и декларировании товара,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фотоконтент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и др.;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три стажировки 17 субъектов МСП по повышению предпринимательских, управленческих и профессиональных компетенций на профильных предприятиях в городах Новосибирск, Кемерово, Красноярск;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представление 10 субъектами МСП своих экспозиций на выставках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«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BEE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TOGETHER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RU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 (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г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.М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осква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) и «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Pet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е</w:t>
      </w:r>
      <w:r>
        <w:rPr>
          <w:rFonts w:ascii="PT Astra Serif" w:hAnsi="PT Astra Serif" w:eastAsia="Times New Roman" w:cs="Times New Roman"/>
          <w:sz w:val="26"/>
          <w:szCs w:val="26"/>
          <w:lang w:val="en-US" w:eastAsia="ru-RU"/>
        </w:rPr>
        <w:t xml:space="preserve">rfood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2025» (г. Санкт-Петербург);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проведение 11 фестивалей, на которых предприниматели представили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и реализовали свою продукцию (Фестиваль ко Дню защиты детей, гастрономический фестиваль «Жимолость», фестивали «Вокруг спорта», «Праздник Топора», «Есть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Фест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», «Золотая осень», шесть фестивалей «Мой бизнес».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 Количество участников - 220 предпринимателей;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проведение трех обучающих курсов («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Нейросети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с нуля на практике», «Оказание первой помощи», «Маркетинговые концепции и практики»)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для 55 участников.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2025 году стартовал новый федеральный/региональный проект «Малое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и среднее предпринимательство и поддержка индивидуальной предпринимательской инициативы» национального проекта «Эффективная и конкурентная экономика» (далее – региональный проект), реализация которого рассчитана на 2025-2030 годы.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На реализацию регионального проекта в 2025 году было направлено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23,3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руб., в том числе 10,3 млн руб. – из федерального бюджета.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Достигнуты следующие целевые показатели регионального проекта: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- 1641 субъекту МСП и гражданам, желающим вести бизнес, обеспечено оказание услуг и мер поддержки организациями инфраструктуры поддержки малого и среднего предпринимательства;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субъектами МСП обеспечено привлечение финансирования за счет поручительств (независимых гарантий) фондов содействия кредитованию (гарантийных фондов, фондов поручительств) в объеме 953,1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руб.;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субъектам МСП обеспечен льготный доступ к заемным средствам государственных (муниципальных)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микрофинансовых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организаций в сумме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356,1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млн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руб.;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- 4 субъектам МСП обеспечен льготный доступ к производственным площадям и помещениям индустриальных (промышленных) парков, агропромышленных парков,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бизнес-парков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, технопарков, промышленных технопарков в целях создания (развития) производственных и инновационных компаний.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 2026 году объем государственной поддержки Томской области МСП существенно сократился: ассигнования из областного и федерального бюджетов составили 59,7 млн. руб., в том числе из областного бюджета - 37,2 млн. руб.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Принимаемые меры поддержки бизнеса положительно сказываются на динамике количества субъектов МСП. По итогам первого полугодия 2026 года темп роста количества МСП составил 102,8% (АППГ – 101,7%).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Растет не только количество субъектов МСП, но и их доля в общем количестве хозяйствующих субъектов Томской области. По данным УФНС России по Томской области, доля МСП составляет 83,12% в общем числе хозяйствующих субъектов Томской области.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 итогам 2026 года </w:t>
      </w:r>
      <w:r>
        <w:rPr>
          <w:rFonts w:ascii="PT Astra Serif" w:hAnsi="PT Astra Serif" w:eastAsia="Calibri" w:cs="Times New Roman"/>
          <w:sz w:val="26"/>
          <w:szCs w:val="26"/>
        </w:rPr>
        <w:t xml:space="preserve">динамика количества</w:t>
      </w:r>
      <w:r>
        <w:rPr>
          <w:rFonts w:ascii="PT Astra Serif" w:hAnsi="PT Astra Serif" w:eastAsia="Calibri" w:cs="Times New Roman"/>
          <w:sz w:val="26"/>
          <w:szCs w:val="26"/>
        </w:rPr>
        <w:t xml:space="preserve"> субъектов МСП оценивается на уровне </w:t>
      </w:r>
      <w:r>
        <w:rPr>
          <w:rFonts w:ascii="PT Astra Serif" w:hAnsi="PT Astra Serif" w:eastAsia="Calibri" w:cs="Times New Roman"/>
          <w:sz w:val="26"/>
          <w:szCs w:val="26"/>
        </w:rPr>
        <w:t xml:space="preserve">103%. В</w:t>
      </w:r>
      <w:r>
        <w:rPr>
          <w:rFonts w:ascii="PT Astra Serif" w:hAnsi="PT Astra Serif" w:eastAsia="Calibri" w:cs="Times New Roman"/>
          <w:sz w:val="26"/>
          <w:szCs w:val="26"/>
        </w:rPr>
        <w:t xml:space="preserve"> прогнозном периоде 2026 – 2029 годов ожидается изменение направлений государственной поддержки предпринимательской деятельности. В частности, она станет более </w:t>
      </w:r>
      <w:r>
        <w:rPr>
          <w:rFonts w:ascii="PT Astra Serif" w:hAnsi="PT Astra Serif" w:eastAsia="Calibri" w:cs="Times New Roman"/>
          <w:sz w:val="26"/>
          <w:szCs w:val="26"/>
        </w:rPr>
        <w:t xml:space="preserve">таргетной</w:t>
      </w:r>
      <w:r>
        <w:rPr>
          <w:rFonts w:ascii="PT Astra Serif" w:hAnsi="PT Astra Serif" w:eastAsia="Calibri" w:cs="Times New Roman"/>
          <w:sz w:val="26"/>
          <w:szCs w:val="26"/>
        </w:rPr>
        <w:t xml:space="preserve">, направленной на поддержку компаний из приоритетных отраслей экономики предложения (обрабатывающие производства, креативные индустрии, транспортировка и хранение, гостиничный бизнес и общепит). 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Поддержка малого и среднего бизнеса в приоритетных отраслях стимулирует устойчивое развитие экономики предложения, повышает производительность труда и обеспечивает технологический суверенитет.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Реализуемые меры будут способствовать дальнейшему росту количества предприятий со стабильным темпом роста 101,1% в 2027 году до 102% в 2029 году.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Рост количества предприятий, а также увеличение стоимости товаров и услуг будет способствовать увеличению оборота. В </w:t>
      </w:r>
      <w:r>
        <w:rPr>
          <w:rFonts w:ascii="PT Astra Serif" w:hAnsi="PT Astra Serif" w:eastAsia="Calibri" w:cs="Times New Roman"/>
          <w:sz w:val="26"/>
          <w:szCs w:val="26"/>
        </w:rPr>
        <w:t xml:space="preserve">результате</w:t>
      </w:r>
      <w:r>
        <w:rPr>
          <w:rFonts w:ascii="PT Astra Serif" w:hAnsi="PT Astra Serif" w:eastAsia="Calibri" w:cs="Times New Roman"/>
          <w:sz w:val="26"/>
          <w:szCs w:val="26"/>
        </w:rPr>
        <w:t xml:space="preserve"> прирост оборота предприятий МСП в 2026 году оценивается в 18%. В 2027 – 2029 годах по базовому варианту темпы роста оборота составят порядка 114%.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Calibri" w:cs="Times New Roman"/>
          <w:sz w:val="26"/>
          <w:szCs w:val="26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Базовый вариант Прогноза предполагает снижение численности занятых в сегменте МСП в 2026 году до отметки в 96,5 тыс. человек. В 2027 – 2029 </w:t>
      </w:r>
      <w:r>
        <w:rPr>
          <w:rFonts w:ascii="PT Astra Serif" w:hAnsi="PT Astra Serif" w:eastAsia="Calibri" w:cs="Times New Roman"/>
          <w:sz w:val="26"/>
          <w:szCs w:val="26"/>
        </w:rPr>
        <w:t xml:space="preserve">годах</w:t>
      </w:r>
      <w:r>
        <w:rPr>
          <w:rFonts w:ascii="PT Astra Serif" w:hAnsi="PT Astra Serif" w:eastAsia="Calibri" w:cs="Times New Roman"/>
          <w:sz w:val="26"/>
          <w:szCs w:val="26"/>
        </w:rPr>
        <w:t xml:space="preserve"> прогнозируется сохранение тенденции сокращения численности работников малых и средних предприятий, включая </w:t>
      </w:r>
      <w:r>
        <w:rPr>
          <w:rFonts w:ascii="PT Astra Serif" w:hAnsi="PT Astra Serif" w:eastAsia="Calibri" w:cs="Times New Roman"/>
          <w:sz w:val="26"/>
          <w:szCs w:val="26"/>
        </w:rPr>
        <w:t xml:space="preserve">микропредприятия</w:t>
      </w:r>
      <w:r>
        <w:rPr>
          <w:rFonts w:ascii="PT Astra Serif" w:hAnsi="PT Astra Serif" w:eastAsia="Calibri" w:cs="Times New Roman"/>
          <w:sz w:val="26"/>
          <w:szCs w:val="26"/>
        </w:rPr>
        <w:t xml:space="preserve">. К 2029 году количество р</w:t>
      </w:r>
      <w:r>
        <w:rPr>
          <w:rFonts w:ascii="PT Astra Serif" w:hAnsi="PT Astra Serif" w:eastAsia="Calibri" w:cs="Times New Roman"/>
          <w:sz w:val="26"/>
          <w:szCs w:val="26"/>
        </w:rPr>
        <w:t xml:space="preserve">аботников МСП сократится до 95 тыс.</w:t>
      </w:r>
      <w:r>
        <w:rPr>
          <w:rFonts w:ascii="PT Astra Serif" w:hAnsi="PT Astra Serif" w:eastAsia="Calibri" w:cs="Times New Roman"/>
          <w:sz w:val="26"/>
          <w:szCs w:val="26"/>
        </w:rPr>
        <w:t xml:space="preserve"> чел. (100,3%).</w:t>
      </w:r>
      <w:r>
        <w:rPr>
          <w:rFonts w:ascii="PT Astra Serif" w:hAnsi="PT Astra Serif" w:eastAsia="Calibri" w:cs="Times New Roman"/>
          <w:sz w:val="26"/>
          <w:szCs w:val="26"/>
        </w:rPr>
      </w:r>
      <w:r>
        <w:rPr>
          <w:rFonts w:ascii="PT Astra Serif" w:hAnsi="PT Astra Serif" w:eastAsia="Calibri" w:cs="Times New Roman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По консервативному сценарию при сохранении высокого уровня</w:t>
      </w:r>
      <w:r>
        <w:rPr>
          <w:rFonts w:ascii="PT Astra Serif" w:hAnsi="PT Astra Serif" w:eastAsia="Calibri" w:cs="Times New Roman"/>
          <w:sz w:val="26"/>
          <w:szCs w:val="26"/>
        </w:rPr>
        <w:t xml:space="preserve"> налоговой и </w:t>
      </w:r>
      <w:r>
        <w:rPr>
          <w:rFonts w:ascii="PT Astra Serif" w:hAnsi="PT Astra Serif" w:eastAsia="Calibri" w:cs="Times New Roman"/>
          <w:sz w:val="26"/>
          <w:szCs w:val="26"/>
        </w:rPr>
        <w:t xml:space="preserve"> кредитной нагрузки на бизнес темп роста количества субъектов МСП в 2027 – 2029 годах составит 99,5% – 99,6%.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Оборот предприятий по консервативному сценарию оценивается в 2027 году в 931 млрд. рублей, в 2028 году – 962,74 млрд. рублей, в 2029 году – 996,44  млрд. рублей (темп роста 103,5%). 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Целевой сценарий рассчитан с учетом </w:t>
      </w:r>
      <w:r>
        <w:rPr>
          <w:rFonts w:ascii="PT Astra Serif" w:hAnsi="PT Astra Serif" w:eastAsia="Calibri" w:cs="Times New Roman"/>
          <w:sz w:val="26"/>
          <w:szCs w:val="26"/>
        </w:rPr>
        <w:t xml:space="preserve">снижения административной нагрузки</w:t>
      </w:r>
      <w:r>
        <w:rPr>
          <w:rFonts w:ascii="PT Astra Serif" w:hAnsi="PT Astra Serif" w:eastAsia="Calibri" w:cs="Times New Roman"/>
          <w:sz w:val="26"/>
          <w:szCs w:val="26"/>
        </w:rPr>
        <w:t xml:space="preserve"> в отношении малого бизнеса и </w:t>
      </w:r>
      <w:r>
        <w:rPr>
          <w:rFonts w:ascii="PT Astra Serif" w:hAnsi="PT Astra Serif" w:eastAsia="Calibri" w:cs="Times New Roman"/>
          <w:sz w:val="26"/>
          <w:szCs w:val="26"/>
        </w:rPr>
        <w:t xml:space="preserve">оптимизации разрешительных процедур. В</w:t>
      </w:r>
      <w:r>
        <w:rPr>
          <w:rFonts w:ascii="PT Astra Serif" w:hAnsi="PT Astra Serif" w:eastAsia="Calibri" w:cs="Times New Roman"/>
          <w:sz w:val="26"/>
          <w:szCs w:val="26"/>
        </w:rPr>
        <w:t xml:space="preserve">озрастут объемы государственной поддержки</w:t>
      </w:r>
      <w:r>
        <w:rPr>
          <w:rFonts w:ascii="PT Astra Serif" w:hAnsi="PT Astra Serif" w:eastAsia="Calibri" w:cs="Times New Roman"/>
          <w:sz w:val="26"/>
          <w:szCs w:val="26"/>
        </w:rPr>
        <w:t xml:space="preserve">, реализация инвестиционных проектов, снижение кредитной нагрузки</w:t>
      </w:r>
      <w:r>
        <w:rPr>
          <w:rFonts w:ascii="PT Astra Serif" w:hAnsi="PT Astra Serif" w:eastAsia="Calibri" w:cs="Times New Roman"/>
          <w:sz w:val="26"/>
          <w:szCs w:val="26"/>
        </w:rPr>
        <w:t xml:space="preserve"> и изменения налогового законодательства </w:t>
      </w:r>
      <w:bookmarkStart w:id="2" w:name="_GoBack"/>
      <w:r/>
      <w:bookmarkEnd w:id="2"/>
      <w:r>
        <w:rPr>
          <w:rFonts w:ascii="PT Astra Serif" w:hAnsi="PT Astra Serif" w:eastAsia="Calibri" w:cs="Times New Roman"/>
          <w:sz w:val="26"/>
          <w:szCs w:val="26"/>
        </w:rPr>
        <w:t xml:space="preserve">положительно скажется на численности</w:t>
      </w:r>
      <w:r>
        <w:rPr>
          <w:rFonts w:ascii="PT Astra Serif" w:hAnsi="PT Astra Serif" w:eastAsia="Calibri" w:cs="Times New Roman"/>
          <w:sz w:val="26"/>
          <w:szCs w:val="26"/>
        </w:rPr>
        <w:t xml:space="preserve"> субъектов МСП, воспользовавшихся господдержкой. 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spacing w:after="120" w:line="240" w:lineRule="auto"/>
        <w:rPr>
          <w:rFonts w:ascii="Calibri" w:hAnsi="Calibri" w:eastAsia="Calibri" w:cs="Times New Roman"/>
        </w:rPr>
      </w:pPr>
      <w:r>
        <w:rPr>
          <w:rFonts w:ascii="PT Astra Serif" w:hAnsi="PT Astra Serif" w:eastAsia="Calibri" w:cs="Times New Roman"/>
          <w:sz w:val="26"/>
          <w:szCs w:val="26"/>
        </w:rPr>
        <w:t xml:space="preserve">Это позволит нарастить количество субъектов МСП к 2029 году до отметки в 48424 ед. со среднесписочной численностью занятых в секторе 97 тыс. чел. (98,5% к уровню 2025 года) и оборотом в 1 374 млрд. рублей (115%).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4.8. Уровень жизни населения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Повышение качества и уровня жизни населения региона – одна из основных целей </w:t>
      </w:r>
      <w:r>
        <w:rPr>
          <w:rFonts w:ascii="PT Astra Serif" w:hAnsi="PT Astra Serif"/>
          <w:sz w:val="26"/>
          <w:szCs w:val="26"/>
          <w:highlight w:val="white"/>
        </w:rPr>
        <w:t xml:space="preserve">социальной-экономического</w:t>
      </w:r>
      <w:r>
        <w:rPr>
          <w:rFonts w:ascii="PT Astra Serif" w:hAnsi="PT Astra Serif"/>
          <w:sz w:val="26"/>
          <w:szCs w:val="26"/>
          <w:highlight w:val="white"/>
        </w:rPr>
        <w:t xml:space="preserve"> развития Томской области.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Среднедушевые денежные доходы населения в 2025 году составили 55620 рублей, в январе – марте 2026 года по предварительной оценке </w:t>
      </w:r>
      <w:r>
        <w:rPr>
          <w:rFonts w:ascii="PT Astra Serif" w:hAnsi="PT Astra Serif"/>
          <w:sz w:val="26"/>
          <w:szCs w:val="26"/>
          <w:highlight w:val="white"/>
        </w:rPr>
        <w:t xml:space="preserve">Томскстата</w:t>
      </w:r>
      <w:r>
        <w:rPr>
          <w:rFonts w:ascii="PT Astra Serif" w:hAnsi="PT Astra Serif"/>
          <w:sz w:val="26"/>
          <w:szCs w:val="26"/>
          <w:highlight w:val="white"/>
        </w:rPr>
        <w:t xml:space="preserve"> – 56 277 рублей в месяц (108,7% к АППГ).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Реальные располагаемые денежные доходы населения (темп роста номинальных доходов за вычетом обязательных платежей, отнесенный к индексу потребительских цен) по итогам 2025 года составили 107,8% при росте обязательных платежей на 18,3%. </w:t>
      </w:r>
      <w:r>
        <w:rPr>
          <w:rFonts w:ascii="PT Astra Serif" w:hAnsi="PT Astra Serif"/>
          <w:sz w:val="26"/>
          <w:szCs w:val="26"/>
          <w:highlight w:val="yellow"/>
        </w:rPr>
        <w:br/>
      </w:r>
      <w:r>
        <w:rPr>
          <w:rFonts w:ascii="PT Astra Serif" w:hAnsi="PT Astra Serif"/>
          <w:sz w:val="26"/>
          <w:szCs w:val="26"/>
          <w:highlight w:val="white"/>
        </w:rPr>
        <w:t xml:space="preserve">За первый квартал 2026 года реальные располагаемые денежные доходы населения составили 102,3%, по оценке 2026 года – 101,3%.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среднесрочном </w:t>
      </w:r>
      <w:r>
        <w:rPr>
          <w:rFonts w:ascii="PT Astra Serif" w:hAnsi="PT Astra Serif"/>
          <w:sz w:val="26"/>
          <w:szCs w:val="26"/>
          <w:highlight w:val="white"/>
        </w:rPr>
        <w:t xml:space="preserve">периоде</w:t>
      </w:r>
      <w:r>
        <w:rPr>
          <w:rFonts w:ascii="PT Astra Serif" w:hAnsi="PT Astra Serif"/>
          <w:sz w:val="26"/>
          <w:szCs w:val="26"/>
          <w:highlight w:val="white"/>
        </w:rPr>
        <w:t xml:space="preserve"> до 2028 года по базовому варианту прогнозируется положительная динамика реальных располагаемых денежных доходов населения в диапазоне 101,4% – 101,8% при прогнозируемом уровне инфляции в пределах 104% – 104,3%.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структуре денежных доходов населения в 2025 году наибольшую долю (83,6%) занимают заработная плата и социальные выплаты. Динамика денежных доходов населения обусловлена высоким темпом роста трудовых </w:t>
      </w:r>
      <w:r>
        <w:rPr>
          <w:rFonts w:ascii="PT Astra Serif" w:hAnsi="PT Astra Serif"/>
          <w:sz w:val="26"/>
          <w:szCs w:val="26"/>
          <w:highlight w:val="white"/>
        </w:rPr>
        <w:t xml:space="preserve">доходов населения 111,9%, в том числе за счет роста фонда заработной платы работников организаций на 14%, доходов от собственности – на 57%, доходов от предпринимательской и другой производственной деятельности на 35,1%, а также социальных выплат – на 17%.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Среднемесячная номинальная заработная плата работников организаций в 2</w:t>
      </w:r>
      <w:r>
        <w:rPr>
          <w:rFonts w:ascii="PT Astra Serif" w:hAnsi="PT Astra Serif"/>
          <w:sz w:val="26"/>
          <w:szCs w:val="26"/>
          <w:highlight w:val="white"/>
        </w:rPr>
        <w:t xml:space="preserve">025 году составила 89,5 тыс. рублей. Росту заработной платы на 14% по сравнению с АППГ способствовали: увеличение МРОТ с 01.01.2025 до 22 440 рублей (116,6% к 01.01.2024), усиление конкуренции за рабочую силу, повышение заработной платы «указных» категорий </w:t>
      </w:r>
      <w:r>
        <w:rPr>
          <w:rFonts w:ascii="PT Astra Serif" w:hAnsi="PT Astra Serif"/>
          <w:sz w:val="26"/>
          <w:szCs w:val="26"/>
          <w:highlight w:val="white"/>
        </w:rPr>
        <w:t xml:space="preserve">работников</w:t>
      </w:r>
      <w:r>
        <w:rPr>
          <w:rFonts w:ascii="PT Astra Serif" w:hAnsi="PT Astra Serif"/>
          <w:sz w:val="26"/>
          <w:szCs w:val="26"/>
          <w:highlight w:val="white"/>
        </w:rPr>
        <w:t xml:space="preserve"> за счет дополнительно выделенных средств областного бюджета.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 учетом среднегодовой инфляции 108,8% реальная заработная плата по итогам 2025 года составила 104,8%.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</w:rPr>
        <w:t xml:space="preserve">В 2026 году произведена </w:t>
      </w:r>
      <w:r>
        <w:rPr>
          <w:rFonts w:ascii="PT Astra Serif" w:hAnsi="PT Astra Serif"/>
          <w:sz w:val="26"/>
          <w:szCs w:val="26"/>
          <w:highlight w:val="white"/>
        </w:rPr>
        <w:t xml:space="preserve">индексация фонда заработной платы работников бюджетных организаций с учетом увеличения МРОТ с 01.01.2026 до 27 093 рублей (рост 120,7 %).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За январь-май 2026 года среднемесячная заработная плата работников организаций Томской области выросла на 9,1% по сравнению с АППГ и составила 90,0 тыс. рублей.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реальном </w:t>
      </w:r>
      <w:r>
        <w:rPr>
          <w:rFonts w:ascii="PT Astra Serif" w:hAnsi="PT Astra Serif"/>
          <w:sz w:val="26"/>
          <w:szCs w:val="26"/>
          <w:highlight w:val="white"/>
        </w:rPr>
        <w:t xml:space="preserve">секторе</w:t>
      </w:r>
      <w:r>
        <w:rPr>
          <w:rFonts w:ascii="PT Astra Serif" w:hAnsi="PT Astra Serif"/>
          <w:sz w:val="26"/>
          <w:szCs w:val="26"/>
          <w:highlight w:val="white"/>
        </w:rPr>
        <w:t xml:space="preserve"> экономики темпы роста заработной платы, опережающие среднее значение по Томской области, за 5 мес. 2026 года зафиксированы в следующих отраслях: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обрабатывающие производства - 109,3%,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обеспечение электрической энергией, газом и паром - 111,2%,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водоснабжение; водоотведение, организация сбора и утилизации отходов - 114,7%,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транспортировка и хранение - 111,5%,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деятельность гостиниц и предприятий общественного питания - 125,4%,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деятельность финансовая и страховая - 119,4%,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</w:rPr>
        <w:t xml:space="preserve">деятельность по операциям с недвижимым имуществом - 119,4%</w:t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бюджетном </w:t>
      </w:r>
      <w:r>
        <w:rPr>
          <w:rFonts w:ascii="PT Astra Serif" w:hAnsi="PT Astra Serif"/>
          <w:sz w:val="26"/>
          <w:szCs w:val="26"/>
          <w:highlight w:val="white"/>
        </w:rPr>
        <w:t xml:space="preserve">секторе</w:t>
      </w:r>
      <w:r>
        <w:rPr>
          <w:rFonts w:ascii="PT Astra Serif" w:hAnsi="PT Astra Serif"/>
          <w:sz w:val="26"/>
          <w:szCs w:val="26"/>
          <w:highlight w:val="white"/>
        </w:rPr>
        <w:t xml:space="preserve"> лидер</w:t>
      </w:r>
      <w:r>
        <w:rPr>
          <w:rFonts w:ascii="PT Astra Serif" w:hAnsi="PT Astra Serif"/>
          <w:sz w:val="26"/>
          <w:szCs w:val="26"/>
          <w:highlight w:val="white"/>
        </w:rPr>
        <w:t xml:space="preserve">ом по темпу роста заработной платы является здравоохранение, где за январь – май 2026 года среднемесячная заработная плата увеличилась на 12% по сравнению с аналогичным периодом прошлого года, в сфере культуры рост составил 109,4%, в образовании – 107,4%.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По оценке в 2026 году среднемесячная номинальная начисленная зар</w:t>
      </w:r>
      <w:r>
        <w:rPr>
          <w:rFonts w:ascii="PT Astra Serif" w:hAnsi="PT Astra Serif"/>
          <w:sz w:val="26"/>
          <w:szCs w:val="26"/>
          <w:highlight w:val="white"/>
        </w:rPr>
        <w:t xml:space="preserve">аботная плата работников организаций в Томской области увеличится на 7,9% и составит 96,6 тыс. рублей. Рост фонда заработной платы работников организаций (107,8%) при ожидаемой среднегодовой инфляции 105,6% приведет к росту реальной заработной платы 102,2%.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целях </w:t>
      </w:r>
      <w:r>
        <w:rPr>
          <w:rFonts w:ascii="PT Astra Serif" w:hAnsi="PT Astra Serif"/>
          <w:sz w:val="26"/>
          <w:szCs w:val="26"/>
          <w:highlight w:val="white"/>
        </w:rPr>
        <w:t xml:space="preserve">достижения национальной цели «Устойчивая и динамичная экономика», выполнения задачи «Обеспечение устойчивого роста доходов населения» разработан План мероприятий («дорожная карта») по достижению целевых значений (уровней) показателя эффективности «Темп рос</w:t>
      </w:r>
      <w:r>
        <w:rPr>
          <w:rFonts w:ascii="PT Astra Serif" w:hAnsi="PT Astra Serif"/>
          <w:sz w:val="26"/>
          <w:szCs w:val="26"/>
          <w:highlight w:val="white"/>
        </w:rPr>
        <w:t xml:space="preserve">та (индекс роста) реального среднедушевого денежного дохода населения» на 2026 год и на плановый период, ежегодно Администрацией Томской области (с 01.06.2026 – Правительство Томской области) и объединениями работодателей заключается Региональное соглашение</w:t>
      </w:r>
      <w:r>
        <w:rPr>
          <w:rFonts w:ascii="PT Astra Serif" w:hAnsi="PT Astra Serif"/>
          <w:sz w:val="26"/>
          <w:szCs w:val="26"/>
          <w:highlight w:val="white"/>
        </w:rPr>
        <w:t xml:space="preserve"> о минимальной заработной плате в Томской области.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среднесрочном </w:t>
      </w:r>
      <w:r>
        <w:rPr>
          <w:rFonts w:ascii="PT Astra Serif" w:hAnsi="PT Astra Serif"/>
          <w:sz w:val="26"/>
          <w:szCs w:val="26"/>
          <w:highlight w:val="white"/>
        </w:rPr>
        <w:t xml:space="preserve">периоде</w:t>
      </w:r>
      <w:r>
        <w:rPr>
          <w:rFonts w:ascii="PT Astra Serif" w:hAnsi="PT Astra Serif"/>
          <w:sz w:val="26"/>
          <w:szCs w:val="26"/>
          <w:highlight w:val="white"/>
        </w:rPr>
        <w:t xml:space="preserve"> рост заработной платы прогнозируется за счет ежегодного увеличения МРОТ, увеличе</w:t>
      </w:r>
      <w:r>
        <w:rPr>
          <w:rFonts w:ascii="PT Astra Serif" w:hAnsi="PT Astra Serif"/>
          <w:sz w:val="26"/>
          <w:szCs w:val="26"/>
          <w:highlight w:val="white"/>
        </w:rPr>
        <w:t xml:space="preserve">ния уровня оплаты труда «указных» категорий работников бюджетной сферы. При расчете МРОТ по действующей методике - 48% медианной заработной платы его значение с 1 января 2027 года составит 31 347 рублей без учета районного коэффициента и северных надбавок.</w:t>
      </w:r>
      <w:r>
        <w:rPr>
          <w:rFonts w:ascii="PT Astra Serif" w:hAnsi="PT Astra Serif"/>
          <w:sz w:val="26"/>
          <w:szCs w:val="26"/>
          <w:highlight w:val="white"/>
        </w:rPr>
      </w:r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</w:rPr>
        <w:t xml:space="preserve">По базовому варианту прогноза среднемесячная номинальная заработная плата работников организаций в 2029 году </w:t>
      </w:r>
      <w:r>
        <w:rPr>
          <w:rFonts w:ascii="PT Astra Serif" w:hAnsi="PT Astra Serif"/>
          <w:sz w:val="26"/>
          <w:szCs w:val="26"/>
          <w:highlight w:val="white"/>
        </w:rPr>
        <w:t xml:space="preserve">составит 113,2 тыс. рублей. Рост заработной платы в среднесрочном периоде прогнозируется с темпами 106,3% – 107%, т.е. опережающими инфляцию 104% – 104,3%. В результате реальная заработная плата в плановом периоде составит 102,1% – 102,9%.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</w:t>
      </w:r>
      <w:r>
        <w:rPr>
          <w:rFonts w:ascii="PT Astra Serif" w:hAnsi="PT Astra Serif"/>
          <w:sz w:val="26"/>
          <w:szCs w:val="26"/>
          <w:highlight w:val="white"/>
        </w:rPr>
        <w:t xml:space="preserve">регионе</w:t>
      </w:r>
      <w:r>
        <w:rPr>
          <w:rFonts w:ascii="PT Astra Serif" w:hAnsi="PT Astra Serif"/>
          <w:sz w:val="26"/>
          <w:szCs w:val="26"/>
          <w:highlight w:val="white"/>
        </w:rPr>
        <w:t xml:space="preserve"> ежегодно утверждается величина прожиточного минимума по основным социально-демографическим группам как базовый показатель в системе </w:t>
      </w:r>
      <w:r>
        <w:rPr>
          <w:rFonts w:ascii="PT Astra Serif" w:hAnsi="PT Astra Serif"/>
          <w:sz w:val="26"/>
          <w:szCs w:val="26"/>
          <w:highlight w:val="white"/>
        </w:rPr>
        <w:t xml:space="preserve">оценки уровня жизни граждан, применяемый для индексации социальных выплат и пособий. Величина прожиточного минимума населения определяется в соответствии с постановлением Правительства Российской Федерации от 26.06.2021 № 1022 «Об утверждении Правил устано</w:t>
      </w:r>
      <w:r>
        <w:rPr>
          <w:rFonts w:ascii="PT Astra Serif" w:hAnsi="PT Astra Serif"/>
          <w:sz w:val="26"/>
          <w:szCs w:val="26"/>
          <w:highlight w:val="white"/>
        </w:rPr>
        <w:t xml:space="preserve">вления величины прожиточного минимума на душу населения и по основным социально-демографическим группам населения в субъектах Российской Федерации на очередной год» с применением коэффициента региональной дифференциации для Томской области в размере 0,98.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Величина прожиточного минимума на душу населения в Томской области на 2026 год ус</w:t>
      </w:r>
      <w:r>
        <w:rPr>
          <w:rFonts w:ascii="PT Astra Serif" w:hAnsi="PT Astra Serif"/>
          <w:sz w:val="26"/>
          <w:szCs w:val="26"/>
          <w:highlight w:val="white"/>
        </w:rPr>
        <w:t xml:space="preserve">тановлена постановлением Администрации Томской области от 10.11.2025 № 506а «Об установлении величины прожиточного минимума на душу населения и по основным социально-демографическим группам населения в Томской области на 2026 год» в размере 18 560 рублей.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среднесрочной перспективе к 2029 году значение величины прожиточного минимума на душу населения в Томской области составит 21 119 рублей.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Существенное влияние на динамику значения показателя </w:t>
      </w:r>
      <w:r>
        <w:rPr>
          <w:rFonts w:ascii="PT Astra Serif" w:hAnsi="PT Astra Serif"/>
          <w:sz w:val="26"/>
          <w:szCs w:val="26"/>
          <w:highlight w:val="white"/>
        </w:rPr>
        <w:t xml:space="preserve">оказывают комплексные меры</w:t>
      </w:r>
      <w:r>
        <w:rPr>
          <w:rFonts w:ascii="PT Astra Serif" w:hAnsi="PT Astra Serif"/>
          <w:sz w:val="26"/>
          <w:szCs w:val="26"/>
          <w:highlight w:val="white"/>
        </w:rPr>
        <w:t xml:space="preserve"> социальной поддержки граждан, в том числе социальные выплаты в связи с рождением и воспитанием детей. За 2025 году значение показателя «Доля населения с денежными доходами ниже границы бедности» («уровень бедности</w:t>
      </w:r>
      <w:r>
        <w:rPr>
          <w:rFonts w:ascii="PT Astra Serif" w:hAnsi="PT Astra Serif"/>
          <w:sz w:val="26"/>
          <w:szCs w:val="26"/>
          <w:highlight w:val="white"/>
        </w:rPr>
        <w:t xml:space="preserve">») составило 8,7% с темпом снижения по сравнению с 2024 годом (9,8%) превысившим целевой ориентир. По оценке уровень бедности за 2026 год не превысит 8,8%. В среднесрочном периоде к 2029 году по базовому варианту прогноза уровень бедности снизится до 7,7%.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целях достижения национальной цели «Сохранение населения, укрепление здоровья и повышение благополучия людей, поддержка семьи» </w:t>
      </w:r>
      <w:r>
        <w:rPr>
          <w:rFonts w:ascii="PT Astra Serif" w:hAnsi="PT Astra Serif"/>
          <w:sz w:val="26"/>
          <w:szCs w:val="26"/>
          <w:highlight w:val="white"/>
        </w:rPr>
        <w:t xml:space="preserve">и выполнения задач – снижение уровня бедности ниже 7% к 2030 году и ниже 5% к 2036 году, в том числе уровня бедности многодетных семей до 12% к 2030 году и до 8% к 2036 году реализуется региональная программа снижения доли населения с доходами ниже границы</w:t>
      </w:r>
      <w:r>
        <w:rPr>
          <w:rFonts w:ascii="PT Astra Serif" w:hAnsi="PT Astra Serif"/>
          <w:sz w:val="26"/>
          <w:szCs w:val="26"/>
          <w:highlight w:val="white"/>
        </w:rPr>
        <w:t xml:space="preserve"> бедности в Томской</w:t>
      </w:r>
      <w:r>
        <w:rPr>
          <w:rFonts w:ascii="PT Astra Serif" w:hAnsi="PT Astra Serif"/>
          <w:sz w:val="26"/>
          <w:szCs w:val="26"/>
          <w:highlight w:val="white"/>
        </w:rPr>
        <w:t xml:space="preserve"> области, разработан План мероприятий («дорожная карта») на 2026 год и на плановый период. Реализация мероприятий позволит за счет развития системы оказания социальной помощи повысить доходы нуждающихся граждан, в том числе с помощью социального контракта.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</w:pPr>
      <w:r/>
      <w:r/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4.9. Занятость населения, рынок труда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2025 году на рынке труда сохранилась стабильная си</w:t>
      </w:r>
      <w:r>
        <w:rPr>
          <w:rFonts w:ascii="PT Astra Serif" w:hAnsi="PT Astra Serif"/>
          <w:sz w:val="26"/>
          <w:szCs w:val="26"/>
          <w:highlight w:val="white"/>
        </w:rPr>
        <w:t xml:space="preserve">туация. Уровень зарегистрированной безработицы на конец года не изменился по сравнению с началом года и составил 0,53%. Число зарегистрированных безработных граждан составило 2,81 тыс. человек (также без изменений). Потребность работодателей в работниках, </w:t>
      </w:r>
      <w:r>
        <w:rPr>
          <w:rFonts w:ascii="PT Astra Serif" w:hAnsi="PT Astra Serif"/>
          <w:sz w:val="26"/>
          <w:szCs w:val="26"/>
          <w:highlight w:val="white"/>
        </w:rPr>
        <w:t xml:space="preserve">заявленная в органы службы занятости в декабре 2025 года, составила 6,2 тыс. человек, что на 1,9 тыс. человек меньше по сравнению с АППГ.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2025 году численность безработных, зарегистрированных в органах службы занятости населения, составит по оценке порядка 3,1 тыс. человек, среднегодовая численность занятых в экономике региона</w:t>
      </w:r>
      <w:r>
        <w:rPr>
          <w:rFonts w:ascii="PT Astra Serif" w:hAnsi="PT Astra Serif"/>
          <w:sz w:val="26"/>
          <w:szCs w:val="26"/>
          <w:highlight w:val="white"/>
        </w:rPr>
        <w:t xml:space="preserve"> под влиянием демографических процессов уменьшится до 506,7 тыс. человек, численность безработных по методологии МОТ составит 17,5 тыс. человек; уровень безработицы по методологии МОТ составит не более 3,4%, уровень зарегистрированной безработицы – 0,56%.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среднесрочной персп</w:t>
      </w:r>
      <w:r>
        <w:rPr>
          <w:rFonts w:ascii="PT Astra Serif" w:hAnsi="PT Astra Serif"/>
          <w:sz w:val="26"/>
          <w:szCs w:val="26"/>
          <w:highlight w:val="white"/>
        </w:rPr>
        <w:t xml:space="preserve">ективе по базовому варианту прогноза численность занятых в экономике Томской области в 2029 году составит 505,2 тыс. человек (прогноз баланса трудовых ресурсов Томской области на 2027 год и на плановый период 2028 – 2029 годов (приложение № 7 к Прогнозу).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Увеличение спроса на рабочую силу при росте экономики будет способствовать сохранению низких значений показателей, характеризующих безработицу, - уровень безработицы по методологии МОТ в Томской области по базовому варианту Прогноза в 20</w:t>
      </w:r>
      <w:r>
        <w:rPr>
          <w:rFonts w:ascii="PT Astra Serif" w:hAnsi="PT Astra Serif"/>
          <w:sz w:val="26"/>
          <w:szCs w:val="26"/>
          <w:highlight w:val="white"/>
        </w:rPr>
        <w:t xml:space="preserve">29 году оценивается в 3,6%, зарегистрированная безработица сохранится на уровне 0,5-0,6%, численность безработных, зарегистрированных в органах службы занятости населения, составит порядка 3,5 тыс. человек, численность безработных по методологии МОТ - 17,7</w:t>
      </w:r>
      <w:r>
        <w:rPr>
          <w:rFonts w:ascii="PT Astra Serif" w:hAnsi="PT Astra Serif"/>
          <w:sz w:val="26"/>
          <w:szCs w:val="26"/>
          <w:highlight w:val="white"/>
        </w:rPr>
        <w:t xml:space="preserve"> тыс. человек. </w:t>
      </w:r>
      <w:r>
        <w:rPr>
          <w:rFonts w:ascii="PT Astra Serif" w:hAnsi="PT Astra Serif"/>
          <w:sz w:val="26"/>
          <w:szCs w:val="26"/>
          <w:highlight w:val="white"/>
        </w:rPr>
      </w:r>
      <w:r>
        <w:rPr>
          <w:rFonts w:ascii="PT Astra Serif" w:hAnsi="PT Astra Serif"/>
          <w:sz w:val="26"/>
          <w:szCs w:val="26"/>
          <w:highlight w:val="white"/>
        </w:rPr>
      </w:r>
    </w:p>
    <w:p>
      <w:pPr>
        <w:ind w:firstLine="709"/>
        <w:jc w:val="both"/>
        <w:spacing w:after="120" w:line="240" w:lineRule="auto"/>
        <w:rPr>
          <w:highlight w:val="white"/>
        </w:rPr>
      </w:pPr>
      <w:r>
        <w:rPr>
          <w:rFonts w:ascii="PT Astra Serif" w:hAnsi="PT Astra Serif"/>
          <w:sz w:val="26"/>
          <w:szCs w:val="26"/>
          <w:highlight w:val="white"/>
        </w:rPr>
        <w:t xml:space="preserve">В среднесрочной перспективе прогнозируется дальнейшее усиление дефицита трудовых ресурсов и обострение конкуренции между работодателями за рабочую силу в реальном секторе экономики и в бюджетной сфере.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/>
          <w:sz w:val="26"/>
          <w:szCs w:val="26"/>
          <w:highlight w:val="yellow"/>
        </w:rPr>
      </w:pPr>
      <w:r>
        <w:rPr>
          <w:rFonts w:ascii="PT Astra Serif" w:hAnsi="PT Astra Serif"/>
          <w:sz w:val="26"/>
          <w:szCs w:val="26"/>
          <w:highlight w:val="yellow"/>
        </w:rPr>
        <w:br w:type="page" w:clear="all"/>
      </w:r>
      <w:r>
        <w:rPr>
          <w:rFonts w:ascii="PT Astra Serif" w:hAnsi="PT Astra Serif"/>
          <w:sz w:val="26"/>
          <w:szCs w:val="26"/>
          <w:highlight w:val="yellow"/>
        </w:rPr>
      </w:r>
      <w:r>
        <w:rPr>
          <w:rFonts w:ascii="PT Astra Serif" w:hAnsi="PT Astra Serif"/>
          <w:sz w:val="26"/>
          <w:szCs w:val="26"/>
          <w:highlight w:val="yellow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</w:pP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  <w:t xml:space="preserve">ИСПОЛЬЗУЕМЫЕ СОКРАЩЕНИЯ</w:t>
      </w:r>
      <w:r>
        <w:rPr>
          <w:rStyle w:val="1022"/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</w:r>
      <w:r>
        <w:rPr>
          <w:rFonts w:ascii="PT Astra Serif" w:hAnsi="PT Astra Serif" w:eastAsiaTheme="majorEastAsia" w:cstheme="majorBidi"/>
          <w:color w:val="17365d" w:themeColor="text2" w:themeShade="BF"/>
          <w:sz w:val="26"/>
          <w:szCs w:val="26"/>
        </w:rPr>
      </w:r>
    </w:p>
    <w:p>
      <w:pPr>
        <w:ind w:firstLine="709"/>
        <w:jc w:val="center"/>
        <w:spacing w:after="120" w:line="240" w:lineRule="auto"/>
        <w:rPr>
          <w:rFonts w:ascii="PT Astra Serif" w:hAnsi="PT Astra Serif" w:eastAsiaTheme="majorEastAsia" w:cstheme="majorBidi"/>
          <w:color w:val="326e8c"/>
          <w:sz w:val="26"/>
          <w:szCs w:val="26"/>
        </w:rPr>
      </w:pPr>
      <w:r>
        <w:rPr>
          <w:rFonts w:ascii="PT Astra Serif" w:hAnsi="PT Astra Serif" w:eastAsiaTheme="majorEastAsia" w:cstheme="majorBidi"/>
          <w:color w:val="326e8c"/>
          <w:sz w:val="26"/>
          <w:szCs w:val="26"/>
        </w:rPr>
      </w:r>
      <w:r>
        <w:rPr>
          <w:rStyle w:val="1022"/>
          <w:rFonts w:ascii="PT Astra Serif" w:hAnsi="PT Astra Serif" w:eastAsiaTheme="majorEastAsia" w:cstheme="majorBidi"/>
          <w:color w:val="326e8c"/>
          <w:sz w:val="26"/>
          <w:szCs w:val="26"/>
        </w:rPr>
      </w:r>
      <w:r>
        <w:rPr>
          <w:rFonts w:ascii="PT Astra Serif" w:hAnsi="PT Astra Serif" w:eastAsiaTheme="majorEastAsia" w:cstheme="majorBidi"/>
          <w:color w:val="326e8c"/>
          <w:sz w:val="26"/>
          <w:szCs w:val="26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АППГ – аналогичный период прошлого года;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АПК – агропромышленный комплекс;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ВРП – валовой региональный продукт;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ВВП – валовой внутренний продукт;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ГОК – горно-обогатительный комбинат;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Единый план по достижению национальных целей - Единый план по достижению национальных целей развития Российской Федерации до 2030 года и на перспективу до 2036 года, утвержденный резолюцией Правительства Российской Федерации от 30.12.2024 № ММ–П13–47086;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ИЖС – индивидуальное жилищное строительство;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ИП – индивидуальный предприниматель;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ИПП – индекс промышленного производства;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ИПЦ – индекс потребительских цен;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ИФО – индекс физического объема;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КФХ – крестьянско-фермерское хозяйство;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ЛПХ – личное подсобное хозяйство;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МКД – многоквартирный дом;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МСП – малое и среднее предпринимательство;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МОТ – Международная организация труда;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МРОТ – минимальный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размер оплаты труда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п.п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. – процентный пункт;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План мероприятий Стратегии развития беспилотной ав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иации Российской Федерации - план мероприятий по реализации Стратегии развития беспилотной авиации Российской Федерации на период до 2030 года и на перспективу до 2035 года, утвержденный распоряжением Правительства Российской Федерации от 21.06.2023 № 1630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noBreakHyphen/>
        <w:t xml:space="preserve">р;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  <w:t xml:space="preserve">План реализации Стратегии Сибири - план реализации Стратегии социально-экономического развития Сибирского федерального округа до 2035 года, утвержденный распоряжением Правительства Российской Федерации </w:t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  <w:br/>
        <w:t xml:space="preserve">от 16.10.2023 № 2846-р;</w:t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  <w:t xml:space="preserve">СВО – специальная военная операция; </w:t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Стратегия пространственного развития России до 2030 года - стратегия пространственного развития Российской Федерации на период до 2030 года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с прогнозом до 2036 года, утвержденная распоряжением Правительства Российской Федерации от 28.12.2024 № 4146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noBreakHyphen/>
        <w:t xml:space="preserve">р;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Стратегия – Стратегия социально-экономического развития Томской области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до 2030 года, утвержденная постановлением Законодательной Думы Томской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области от 26.03.2015 № 2580 «Об утверждении Стратегии социально-экономического развития Томской области до 2030 года», актуализированная постановлением Законодательной Думы Томской области от 01.07.2021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№ 2988 «О внесении изменения в постановление Законодательной Думы Томской области от 26 марта 2015 года № 2580 «Об утверждении Стратегии социально-экономического развития Томской области до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2030 года»;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  <w:t xml:space="preserve">Стратегия Сибири - Стратегия социально-экономического развития Сибирского федерального округа до 2035 года, утвержденная Распоряжением Правительства Российской Федерации от 26.01.2023 № 129-р; </w:t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color w:val="000000"/>
          <w:sz w:val="26"/>
          <w:szCs w:val="26"/>
          <w:lang w:eastAsia="ru-RU"/>
        </w:rPr>
      </w:r>
    </w:p>
    <w:p>
      <w:pPr>
        <w:ind w:firstLine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СФО – Сибирский федеральный округ;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Указ №20 - </w:t>
      </w:r>
      <w:r>
        <w:rPr>
          <w:rFonts w:ascii="PT Astra Serif" w:hAnsi="PT Astra Serif"/>
          <w:sz w:val="26"/>
          <w:szCs w:val="26"/>
        </w:rPr>
        <w:t xml:space="preserve">Указ Президента Российской Федерации от 21.01.2020 </w:t>
      </w:r>
      <w:r>
        <w:rPr>
          <w:rFonts w:ascii="PT Astra Serif" w:hAnsi="PT Astra Serif"/>
          <w:sz w:val="26"/>
          <w:szCs w:val="26"/>
        </w:rPr>
        <w:br/>
        <w:t xml:space="preserve">№20 «Об утверждении Доктрины продовольственной безопасности Российской Федерации»;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Указ №309 - Указ Президента Российской Федерации от 07.05.2024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№309 «О национальных целях развития Российской Федерации на период до 2030 года и на перспективу до 2036 года»;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Указ №529 - Указ Президента Российской Федерации от 18.06.2024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br/>
        <w:t xml:space="preserve">№529 «Об утверждении приоритетных направлений научно-технологического развития и перечня важнейших наукоемких технологий»;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p>
      <w:pPr>
        <w:ind w:left="709"/>
        <w:jc w:val="both"/>
        <w:spacing w:after="120" w:line="240" w:lineRule="auto"/>
        <w:rPr>
          <w:rFonts w:ascii="PT Astra Serif" w:hAnsi="PT Astra Serif" w:eastAsia="Times New Roman" w:cs="Times New Roman"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Указ №1014 - </w:t>
      </w:r>
      <w:r>
        <w:rPr>
          <w:rFonts w:ascii="PT Astra Serif" w:hAnsi="PT Astra Serif" w:cs="Times New Roman"/>
          <w:sz w:val="26"/>
          <w:szCs w:val="26"/>
        </w:rPr>
        <w:t xml:space="preserve">Указ Президента Российской Федерации от 28.11.2024 </w:t>
      </w:r>
      <w:r>
        <w:rPr>
          <w:rFonts w:ascii="PT Astra Serif" w:hAnsi="PT Astra Serif" w:cs="Times New Roman"/>
          <w:sz w:val="26"/>
          <w:szCs w:val="26"/>
        </w:rPr>
        <w:br/>
        <w:t xml:space="preserve">№1014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«Об оценке 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эффективности деятельности высших должностных лиц субъектов Российской Федерации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  <w:t xml:space="preserve"> и деятельности исполнительных органов субъектов Российской Федерации».</w:t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sz w:val="26"/>
          <w:szCs w:val="26"/>
          <w:lang w:eastAsia="ru-RU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624" w:right="707" w:bottom="1134" w:left="1134" w:header="454" w:footer="284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ource Han Sans CN Regular">
    <w:panose1 w:val="02000603000000000000"/>
  </w:font>
  <w:font w:name="Liberation Serif">
    <w:panose1 w:val="02020603050405020304"/>
  </w:font>
  <w:font w:name="Calibri">
    <w:panose1 w:val="020F0502020204030204"/>
  </w:font>
  <w:font w:name="Verdana">
    <w:panose1 w:val="020B0604030504040204"/>
  </w:font>
  <w:font w:name="Lohit Devanagari">
    <w:panose1 w:val="02000603000000000000"/>
  </w:font>
  <w:font w:name="Courier New">
    <w:panose1 w:val="020704090202050204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MS Mincho">
    <w:panose1 w:val="02020503050405090304"/>
  </w:font>
  <w:font w:name="Tahoma">
    <w:panose1 w:val="020B0604030504040204"/>
  </w:font>
  <w:font w:name="Arial Narrow">
    <w:panose1 w:val="020B0606020202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00276215"/>
      <w:docPartObj>
        <w:docPartGallery w:val="Page Numbers (Top of Page)"/>
        <w:docPartUnique w:val="true"/>
      </w:docPartObj>
      <w:rPr>
        <w:b w:val="0"/>
        <w:sz w:val="26"/>
        <w:szCs w:val="26"/>
      </w:rPr>
    </w:sdtPr>
    <w:sdtContent>
      <w:p>
        <w:pPr>
          <w:pStyle w:val="979"/>
          <w:rPr>
            <w:b w:val="0"/>
            <w:sz w:val="26"/>
            <w:szCs w:val="26"/>
          </w:rPr>
        </w:pPr>
        <w:r>
          <w:rPr>
            <w:b w:val="0"/>
            <w:sz w:val="26"/>
            <w:szCs w:val="26"/>
          </w:rPr>
          <w:fldChar w:fldCharType="begin"/>
        </w:r>
        <w:r>
          <w:rPr>
            <w:b w:val="0"/>
            <w:sz w:val="26"/>
            <w:szCs w:val="26"/>
          </w:rPr>
          <w:instrText xml:space="preserve">PAGE   \* MERGEFORMAT</w:instrText>
        </w:r>
        <w:r>
          <w:rPr>
            <w:b w:val="0"/>
            <w:sz w:val="26"/>
            <w:szCs w:val="26"/>
          </w:rPr>
          <w:fldChar w:fldCharType="separate"/>
        </w:r>
        <w:r>
          <w:rPr>
            <w:b w:val="0"/>
            <w:sz w:val="26"/>
            <w:szCs w:val="26"/>
          </w:rPr>
          <w:t xml:space="preserve">58</w:t>
        </w:r>
        <w:r>
          <w:rPr>
            <w:b w:val="0"/>
            <w:sz w:val="26"/>
            <w:szCs w:val="26"/>
          </w:rPr>
          <w:fldChar w:fldCharType="end"/>
        </w:r>
        <w:r>
          <w:rPr>
            <w:b w:val="0"/>
            <w:sz w:val="26"/>
            <w:szCs w:val="26"/>
          </w:rPr>
        </w:r>
        <w:r>
          <w:rPr>
            <w:b w:val="0"/>
            <w:sz w:val="26"/>
            <w:szCs w:val="26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2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  <w:color w:val="0070c0"/>
      </w:rPr>
    </w:lvl>
    <w:lvl w:ilvl="1">
      <w:start w:val="6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  <w:b/>
        <w:color w:val="0070c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  <w:b/>
        <w:color w:val="0070c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  <w:b/>
        <w:color w:val="0070c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  <w:b/>
        <w:color w:val="0070c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  <w:b/>
        <w:color w:val="0070c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  <w:b/>
        <w:color w:val="0070c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  <w:b/>
        <w:color w:val="0070c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  <w:b/>
        <w:color w:val="0070c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5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1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7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  <w:b/>
        <w:color w:val="0070c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  <w:b/>
        <w:color w:val="0070c0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  <w:b/>
        <w:color w:val="0070c0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  <w:b/>
        <w:color w:val="0070c0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  <w:b/>
        <w:color w:val="0070c0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  <w:b/>
        <w:color w:val="0070c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  <w:b/>
        <w:color w:val="0070c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  <w:b/>
        <w:color w:val="0070c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isLgl w:val="false"/>
      <w:suff w:val="tab"/>
      <w:lvlText w:val="%1.%2"/>
      <w:lvlJc w:val="left"/>
      <w:pPr>
        <w:ind w:left="1084" w:hanging="375"/>
      </w:pPr>
      <w:rPr>
        <w:rFonts w:hint="default"/>
        <w:b/>
        <w:color w:val="0070c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  <w:b/>
        <w:color w:val="0070c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  <w:b/>
        <w:color w:val="0070c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  <w:b/>
        <w:color w:val="0070c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  <w:b/>
        <w:color w:val="0070c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  <w:b/>
        <w:color w:val="0070c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  <w:b/>
        <w:color w:val="0070c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  <w:b/>
        <w:color w:val="0070c0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15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1"/>
  </w:num>
  <w:num w:numId="2">
    <w:abstractNumId w:val="24"/>
  </w:num>
  <w:num w:numId="3">
    <w:abstractNumId w:val="26"/>
  </w:num>
  <w:num w:numId="4">
    <w:abstractNumId w:val="21"/>
  </w:num>
  <w:num w:numId="5">
    <w:abstractNumId w:val="8"/>
  </w:num>
  <w:num w:numId="6">
    <w:abstractNumId w:val="6"/>
  </w:num>
  <w:num w:numId="7">
    <w:abstractNumId w:val="15"/>
  </w:num>
  <w:num w:numId="8">
    <w:abstractNumId w:val="2"/>
  </w:num>
  <w:num w:numId="9">
    <w:abstractNumId w:val="10"/>
  </w:num>
  <w:num w:numId="10">
    <w:abstractNumId w:val="32"/>
  </w:num>
  <w:num w:numId="11">
    <w:abstractNumId w:val="0"/>
  </w:num>
  <w:num w:numId="12">
    <w:abstractNumId w:val="0"/>
  </w:num>
  <w:num w:numId="13">
    <w:abstractNumId w:val="12"/>
  </w:num>
  <w:num w:numId="14">
    <w:abstractNumId w:val="20"/>
  </w:num>
  <w:num w:numId="15">
    <w:abstractNumId w:val="22"/>
  </w:num>
  <w:num w:numId="16">
    <w:abstractNumId w:val="7"/>
  </w:num>
  <w:num w:numId="17">
    <w:abstractNumId w:val="30"/>
  </w:num>
  <w:num w:numId="18">
    <w:abstractNumId w:val="17"/>
  </w:num>
  <w:num w:numId="19">
    <w:abstractNumId w:val="27"/>
  </w:num>
  <w:num w:numId="20">
    <w:abstractNumId w:val="13"/>
  </w:num>
  <w:num w:numId="21">
    <w:abstractNumId w:val="5"/>
  </w:num>
  <w:num w:numId="22">
    <w:abstractNumId w:val="35"/>
  </w:num>
  <w:num w:numId="23">
    <w:abstractNumId w:val="9"/>
  </w:num>
  <w:num w:numId="24">
    <w:abstractNumId w:val="1"/>
  </w:num>
  <w:num w:numId="25">
    <w:abstractNumId w:val="3"/>
  </w:num>
  <w:num w:numId="26">
    <w:abstractNumId w:val="4"/>
  </w:num>
  <w:num w:numId="27">
    <w:abstractNumId w:val="14"/>
  </w:num>
  <w:num w:numId="28">
    <w:abstractNumId w:val="33"/>
  </w:num>
  <w:num w:numId="29">
    <w:abstractNumId w:val="34"/>
  </w:num>
  <w:num w:numId="30">
    <w:abstractNumId w:val="25"/>
  </w:num>
  <w:num w:numId="31">
    <w:abstractNumId w:val="16"/>
  </w:num>
  <w:num w:numId="32">
    <w:abstractNumId w:val="29"/>
  </w:num>
  <w:num w:numId="33">
    <w:abstractNumId w:val="11"/>
  </w:num>
  <w:num w:numId="34">
    <w:abstractNumId w:val="28"/>
  </w:num>
  <w:num w:numId="35">
    <w:abstractNumId w:val="19"/>
  </w:num>
  <w:num w:numId="36">
    <w:abstractNumId w:val="1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 w:edit="readOnly"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00" w:default="1">
    <w:name w:val="Normal"/>
    <w:qFormat/>
    <w:pPr>
      <w:spacing w:after="180" w:line="274" w:lineRule="auto"/>
    </w:pPr>
  </w:style>
  <w:style w:type="paragraph" w:styleId="801">
    <w:name w:val="Heading 1"/>
    <w:basedOn w:val="800"/>
    <w:next w:val="800"/>
    <w:link w:val="967"/>
    <w:uiPriority w:val="9"/>
    <w:qFormat/>
    <w:pPr>
      <w:keepLines/>
      <w:keepNext/>
      <w:spacing w:before="360" w:after="0" w:line="240" w:lineRule="auto"/>
      <w:outlineLvl w:val="0"/>
    </w:pPr>
    <w:rPr>
      <w:rFonts w:asciiTheme="majorHAnsi" w:hAnsiTheme="majorHAnsi" w:eastAsiaTheme="majorEastAsia" w:cstheme="majorBidi"/>
      <w:bCs/>
      <w:color w:val="1f497d" w:themeColor="text2"/>
      <w:sz w:val="32"/>
      <w:szCs w:val="28"/>
    </w:rPr>
  </w:style>
  <w:style w:type="paragraph" w:styleId="802">
    <w:name w:val="Heading 2"/>
    <w:basedOn w:val="800"/>
    <w:next w:val="800"/>
    <w:link w:val="968"/>
    <w:uiPriority w:val="9"/>
    <w:unhideWhenUsed/>
    <w:qFormat/>
    <w:pPr>
      <w:keepLines/>
      <w:keepNext/>
      <w:spacing w:before="120" w:after="0" w:line="240" w:lineRule="auto"/>
      <w:outlineLvl w:val="1"/>
    </w:pPr>
    <w:rPr>
      <w:rFonts w:asciiTheme="majorHAnsi" w:hAnsiTheme="majorHAnsi" w:eastAsiaTheme="majorEastAsia" w:cstheme="majorBidi"/>
      <w:b/>
      <w:bCs/>
      <w:color w:val="9bbb59" w:themeColor="accent3"/>
      <w:sz w:val="28"/>
      <w:szCs w:val="26"/>
    </w:rPr>
  </w:style>
  <w:style w:type="paragraph" w:styleId="803">
    <w:name w:val="Heading 3"/>
    <w:basedOn w:val="800"/>
    <w:next w:val="800"/>
    <w:link w:val="969"/>
    <w:uiPriority w:val="9"/>
    <w:unhideWhenUsed/>
    <w:qFormat/>
    <w:pPr>
      <w:keepLines/>
      <w:keepNext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804">
    <w:name w:val="Heading 4"/>
    <w:basedOn w:val="800"/>
    <w:next w:val="800"/>
    <w:link w:val="970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262626" w:themeColor="text1" w:themeTint="D9"/>
    </w:rPr>
  </w:style>
  <w:style w:type="paragraph" w:styleId="805">
    <w:name w:val="Heading 5"/>
    <w:basedOn w:val="800"/>
    <w:next w:val="800"/>
    <w:link w:val="971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000000"/>
    </w:rPr>
  </w:style>
  <w:style w:type="paragraph" w:styleId="806">
    <w:name w:val="Heading 6"/>
    <w:basedOn w:val="800"/>
    <w:next w:val="800"/>
    <w:link w:val="972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807">
    <w:name w:val="Heading 7"/>
    <w:basedOn w:val="800"/>
    <w:next w:val="800"/>
    <w:link w:val="973"/>
    <w:uiPriority w:val="9"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1f497d" w:themeColor="text2"/>
    </w:rPr>
  </w:style>
  <w:style w:type="paragraph" w:styleId="808">
    <w:name w:val="Heading 8"/>
    <w:basedOn w:val="800"/>
    <w:next w:val="800"/>
    <w:link w:val="974"/>
    <w:uiPriority w:val="9"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000000"/>
      <w:sz w:val="20"/>
      <w:szCs w:val="20"/>
    </w:rPr>
  </w:style>
  <w:style w:type="paragraph" w:styleId="809">
    <w:name w:val="Heading 9"/>
    <w:basedOn w:val="800"/>
    <w:next w:val="800"/>
    <w:link w:val="975"/>
    <w:uiPriority w:val="9"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character" w:styleId="810" w:default="1">
    <w:name w:val="Default Paragraph Font"/>
    <w:uiPriority w:val="1"/>
    <w:semiHidden/>
    <w:unhideWhenUsed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character" w:styleId="813" w:customStyle="1">
    <w:name w:val="Caption Char"/>
    <w:basedOn w:val="810"/>
    <w:uiPriority w:val="35"/>
    <w:rPr>
      <w:b/>
      <w:bCs/>
      <w:color w:val="4f81bd" w:themeColor="accent1"/>
      <w:sz w:val="18"/>
      <w:szCs w:val="18"/>
    </w:rPr>
  </w:style>
  <w:style w:type="character" w:styleId="814" w:customStyle="1">
    <w:name w:val="Endnote Text Char"/>
    <w:uiPriority w:val="99"/>
    <w:rPr>
      <w:sz w:val="20"/>
    </w:rPr>
  </w:style>
  <w:style w:type="character" w:styleId="815" w:customStyle="1">
    <w:name w:val="Heading 1 Char"/>
    <w:basedOn w:val="81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16" w:customStyle="1">
    <w:name w:val="Heading 2 Char"/>
    <w:basedOn w:val="810"/>
    <w:uiPriority w:val="9"/>
    <w:rPr>
      <w:rFonts w:ascii="Liberation Sans" w:hAnsi="Liberation Sans" w:eastAsia="Liberation Sans" w:cs="Liberation Sans"/>
      <w:sz w:val="34"/>
    </w:rPr>
  </w:style>
  <w:style w:type="character" w:styleId="817" w:customStyle="1">
    <w:name w:val="Heading 3 Char"/>
    <w:basedOn w:val="81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18" w:customStyle="1">
    <w:name w:val="Heading 4 Char"/>
    <w:basedOn w:val="81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19" w:customStyle="1">
    <w:name w:val="Heading 5 Char"/>
    <w:basedOn w:val="81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20" w:customStyle="1">
    <w:name w:val="Heading 6 Char"/>
    <w:basedOn w:val="81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21" w:customStyle="1">
    <w:name w:val="Heading 7 Char"/>
    <w:basedOn w:val="81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22" w:customStyle="1">
    <w:name w:val="Heading 8 Char"/>
    <w:basedOn w:val="81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23" w:customStyle="1">
    <w:name w:val="Heading 9 Char"/>
    <w:basedOn w:val="81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24" w:customStyle="1">
    <w:name w:val="Title Char"/>
    <w:basedOn w:val="810"/>
    <w:uiPriority w:val="10"/>
    <w:rPr>
      <w:sz w:val="48"/>
      <w:szCs w:val="48"/>
    </w:rPr>
  </w:style>
  <w:style w:type="character" w:styleId="825" w:customStyle="1">
    <w:name w:val="Subtitle Char"/>
    <w:basedOn w:val="810"/>
    <w:uiPriority w:val="11"/>
    <w:rPr>
      <w:sz w:val="24"/>
      <w:szCs w:val="24"/>
    </w:rPr>
  </w:style>
  <w:style w:type="character" w:styleId="826" w:customStyle="1">
    <w:name w:val="Quote Char"/>
    <w:uiPriority w:val="29"/>
    <w:rPr>
      <w:i/>
    </w:rPr>
  </w:style>
  <w:style w:type="character" w:styleId="827" w:customStyle="1">
    <w:name w:val="Intense Quote Char"/>
    <w:uiPriority w:val="30"/>
    <w:rPr>
      <w:i/>
    </w:rPr>
  </w:style>
  <w:style w:type="character" w:styleId="828" w:customStyle="1">
    <w:name w:val="Header Char"/>
    <w:basedOn w:val="810"/>
    <w:uiPriority w:val="99"/>
  </w:style>
  <w:style w:type="character" w:styleId="829" w:customStyle="1">
    <w:name w:val="Footer Char"/>
    <w:basedOn w:val="810"/>
    <w:uiPriority w:val="99"/>
  </w:style>
  <w:style w:type="character" w:styleId="830" w:customStyle="1">
    <w:name w:val="Название объекта Знак"/>
    <w:basedOn w:val="810"/>
    <w:link w:val="984"/>
    <w:uiPriority w:val="35"/>
    <w:rPr>
      <w:b/>
      <w:bCs/>
      <w:color w:val="4f81bd" w:themeColor="accent1"/>
      <w:sz w:val="18"/>
      <w:szCs w:val="18"/>
    </w:rPr>
  </w:style>
  <w:style w:type="table" w:styleId="831" w:customStyle="1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 w:customStyle="1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3" w:customStyle="1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34" w:customStyle="1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5" w:customStyle="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60" w:customStyle="1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61" w:customStyle="1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62" w:customStyle="1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63" w:customStyle="1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5" w:customStyle="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71" w:customStyle="1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72" w:customStyle="1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3" w:customStyle="1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4" w:customStyle="1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5" w:customStyle="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6" w:customStyle="1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7" w:customStyle="1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8" w:customStyle="1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9" w:customStyle="1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8" w:customStyle="1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9" w:customStyle="1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00" w:customStyle="1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5" w:customStyle="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6" w:customStyle="1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7" w:customStyle="1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8" w:customStyle="1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19" w:customStyle="1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0" w:customStyle="1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21" w:customStyle="1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2" w:customStyle="1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23" w:customStyle="1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4" w:customStyle="1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5" w:customStyle="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6" w:customStyle="1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7" w:customStyle="1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8" w:customStyle="1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ned - Accent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6" w:customStyle="1">
    <w:name w:val="Lined - Accent 1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7" w:customStyle="1">
    <w:name w:val="Lined - Accent 2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8" w:customStyle="1">
    <w:name w:val="Lined - Accent 3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9" w:customStyle="1">
    <w:name w:val="Lined - Accent 4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0" w:customStyle="1">
    <w:name w:val="Lined - Accent 5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1" w:customStyle="1">
    <w:name w:val="Lined - Accent 6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2" w:customStyle="1">
    <w:name w:val="Bordered &amp; Lined - Accent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3" w:customStyle="1">
    <w:name w:val="Bordered &amp; Lined - Accent 1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4" w:customStyle="1">
    <w:name w:val="Bordered &amp; Lined - Accent 2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5" w:customStyle="1">
    <w:name w:val="Bordered &amp; Lined - Accent 3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6" w:customStyle="1">
    <w:name w:val="Bordered &amp; Lined - Accent 4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7" w:customStyle="1">
    <w:name w:val="Bordered &amp; Lined - Accent 5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8" w:customStyle="1">
    <w:name w:val="Bordered &amp; Lined - Accent 6"/>
    <w:basedOn w:val="8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9" w:customStyle="1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0" w:customStyle="1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51" w:customStyle="1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52" w:customStyle="1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53" w:customStyle="1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4" w:customStyle="1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5" w:customStyle="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6" w:customStyle="1">
    <w:name w:val="Footnote Text Char"/>
    <w:uiPriority w:val="99"/>
    <w:rPr>
      <w:sz w:val="18"/>
    </w:rPr>
  </w:style>
  <w:style w:type="paragraph" w:styleId="957">
    <w:name w:val="endnote text"/>
    <w:basedOn w:val="800"/>
    <w:link w:val="958"/>
    <w:uiPriority w:val="99"/>
    <w:semiHidden/>
    <w:unhideWhenUsed/>
    <w:pPr>
      <w:spacing w:after="0" w:line="240" w:lineRule="auto"/>
    </w:pPr>
    <w:rPr>
      <w:sz w:val="20"/>
    </w:rPr>
  </w:style>
  <w:style w:type="character" w:styleId="958" w:customStyle="1">
    <w:name w:val="Текст концевой сноски Знак"/>
    <w:link w:val="957"/>
    <w:uiPriority w:val="99"/>
    <w:rPr>
      <w:sz w:val="20"/>
    </w:rPr>
  </w:style>
  <w:style w:type="character" w:styleId="959">
    <w:name w:val="endnote reference"/>
    <w:basedOn w:val="810"/>
    <w:uiPriority w:val="99"/>
    <w:semiHidden/>
    <w:unhideWhenUsed/>
    <w:rPr>
      <w:vertAlign w:val="superscript"/>
    </w:rPr>
  </w:style>
  <w:style w:type="paragraph" w:styleId="960">
    <w:name w:val="toc 4"/>
    <w:basedOn w:val="800"/>
    <w:next w:val="800"/>
    <w:uiPriority w:val="39"/>
    <w:unhideWhenUsed/>
    <w:pPr>
      <w:ind w:left="850"/>
      <w:spacing w:after="57"/>
    </w:pPr>
  </w:style>
  <w:style w:type="paragraph" w:styleId="961">
    <w:name w:val="toc 5"/>
    <w:basedOn w:val="800"/>
    <w:next w:val="800"/>
    <w:uiPriority w:val="39"/>
    <w:unhideWhenUsed/>
    <w:pPr>
      <w:ind w:left="1134"/>
      <w:spacing w:after="57"/>
    </w:pPr>
  </w:style>
  <w:style w:type="paragraph" w:styleId="962">
    <w:name w:val="toc 6"/>
    <w:basedOn w:val="800"/>
    <w:next w:val="800"/>
    <w:uiPriority w:val="39"/>
    <w:unhideWhenUsed/>
    <w:pPr>
      <w:ind w:left="1417"/>
      <w:spacing w:after="57"/>
    </w:pPr>
  </w:style>
  <w:style w:type="paragraph" w:styleId="963">
    <w:name w:val="toc 7"/>
    <w:basedOn w:val="800"/>
    <w:next w:val="800"/>
    <w:uiPriority w:val="39"/>
    <w:unhideWhenUsed/>
    <w:pPr>
      <w:ind w:left="1701"/>
      <w:spacing w:after="57"/>
    </w:pPr>
  </w:style>
  <w:style w:type="paragraph" w:styleId="964">
    <w:name w:val="toc 8"/>
    <w:basedOn w:val="800"/>
    <w:next w:val="800"/>
    <w:uiPriority w:val="39"/>
    <w:unhideWhenUsed/>
    <w:pPr>
      <w:ind w:left="1984"/>
      <w:spacing w:after="57"/>
    </w:pPr>
  </w:style>
  <w:style w:type="paragraph" w:styleId="965">
    <w:name w:val="toc 9"/>
    <w:basedOn w:val="800"/>
    <w:next w:val="800"/>
    <w:uiPriority w:val="39"/>
    <w:unhideWhenUsed/>
    <w:pPr>
      <w:ind w:left="2268"/>
      <w:spacing w:after="57"/>
    </w:pPr>
  </w:style>
  <w:style w:type="paragraph" w:styleId="966">
    <w:name w:val="table of figures"/>
    <w:basedOn w:val="800"/>
    <w:next w:val="800"/>
    <w:uiPriority w:val="99"/>
    <w:unhideWhenUsed/>
    <w:pPr>
      <w:spacing w:after="0"/>
    </w:pPr>
  </w:style>
  <w:style w:type="character" w:styleId="967" w:customStyle="1">
    <w:name w:val="Заголовок 1 Знак"/>
    <w:basedOn w:val="810"/>
    <w:link w:val="801"/>
    <w:uiPriority w:val="9"/>
    <w:rPr>
      <w:rFonts w:asciiTheme="majorHAnsi" w:hAnsiTheme="majorHAnsi" w:eastAsiaTheme="majorEastAsia" w:cstheme="majorBidi"/>
      <w:bCs/>
      <w:color w:val="1f497d" w:themeColor="text2"/>
      <w:sz w:val="32"/>
      <w:szCs w:val="28"/>
    </w:rPr>
  </w:style>
  <w:style w:type="character" w:styleId="968" w:customStyle="1">
    <w:name w:val="Заголовок 2 Знак"/>
    <w:basedOn w:val="810"/>
    <w:link w:val="802"/>
    <w:uiPriority w:val="9"/>
    <w:rPr>
      <w:rFonts w:asciiTheme="majorHAnsi" w:hAnsiTheme="majorHAnsi" w:eastAsiaTheme="majorEastAsia" w:cstheme="majorBidi"/>
      <w:b/>
      <w:bCs/>
      <w:color w:val="9bbb59" w:themeColor="accent3"/>
      <w:sz w:val="28"/>
      <w:szCs w:val="26"/>
    </w:rPr>
  </w:style>
  <w:style w:type="character" w:styleId="969" w:customStyle="1">
    <w:name w:val="Заголовок 3 Знак"/>
    <w:basedOn w:val="810"/>
    <w:link w:val="803"/>
    <w:uiPriority w:val="9"/>
    <w:rPr>
      <w:rFonts w:eastAsiaTheme="majorEastAsia" w:cstheme="majorBidi"/>
      <w:b/>
      <w:bCs/>
      <w:color w:val="1f497d" w:themeColor="text2"/>
      <w:sz w:val="24"/>
    </w:rPr>
  </w:style>
  <w:style w:type="character" w:styleId="970" w:customStyle="1">
    <w:name w:val="Заголовок 4 Знак"/>
    <w:basedOn w:val="810"/>
    <w:link w:val="804"/>
    <w:uiPriority w:val="9"/>
    <w:rPr>
      <w:rFonts w:asciiTheme="majorHAnsi" w:hAnsiTheme="majorHAnsi" w:eastAsiaTheme="majorEastAsia" w:cstheme="majorBidi"/>
      <w:b/>
      <w:bCs/>
      <w:i/>
      <w:iCs/>
      <w:color w:val="262626" w:themeColor="text1" w:themeTint="D9"/>
    </w:rPr>
  </w:style>
  <w:style w:type="character" w:styleId="971" w:customStyle="1">
    <w:name w:val="Заголовок 5 Знак"/>
    <w:basedOn w:val="810"/>
    <w:link w:val="805"/>
    <w:uiPriority w:val="9"/>
    <w:rPr>
      <w:rFonts w:asciiTheme="majorHAnsi" w:hAnsiTheme="majorHAnsi" w:eastAsiaTheme="majorEastAsia" w:cstheme="majorBidi"/>
      <w:color w:val="000000"/>
    </w:rPr>
  </w:style>
  <w:style w:type="character" w:styleId="972" w:customStyle="1">
    <w:name w:val="Заголовок 6 Знак"/>
    <w:basedOn w:val="810"/>
    <w:link w:val="806"/>
    <w:uiPriority w:val="9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973" w:customStyle="1">
    <w:name w:val="Заголовок 7 Знак"/>
    <w:basedOn w:val="810"/>
    <w:link w:val="807"/>
    <w:uiPriority w:val="9"/>
    <w:rPr>
      <w:rFonts w:asciiTheme="majorHAnsi" w:hAnsiTheme="majorHAnsi" w:eastAsiaTheme="majorEastAsia" w:cstheme="majorBidi"/>
      <w:i/>
      <w:iCs/>
      <w:color w:val="1f497d" w:themeColor="text2"/>
    </w:rPr>
  </w:style>
  <w:style w:type="character" w:styleId="974" w:customStyle="1">
    <w:name w:val="Заголовок 8 Знак"/>
    <w:basedOn w:val="810"/>
    <w:link w:val="808"/>
    <w:uiPriority w:val="9"/>
    <w:rPr>
      <w:rFonts w:asciiTheme="majorHAnsi" w:hAnsiTheme="majorHAnsi" w:eastAsiaTheme="majorEastAsia" w:cstheme="majorBidi"/>
      <w:color w:val="000000"/>
      <w:sz w:val="20"/>
      <w:szCs w:val="20"/>
    </w:rPr>
  </w:style>
  <w:style w:type="character" w:styleId="975" w:customStyle="1">
    <w:name w:val="Заголовок 9 Знак"/>
    <w:basedOn w:val="810"/>
    <w:link w:val="809"/>
    <w:uiPriority w:val="9"/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numbering" w:styleId="976" w:customStyle="1">
    <w:name w:val="Нет списка1"/>
    <w:next w:val="812"/>
    <w:uiPriority w:val="99"/>
    <w:semiHidden/>
  </w:style>
  <w:style w:type="paragraph" w:styleId="977">
    <w:name w:val="Body Text"/>
    <w:basedOn w:val="800"/>
    <w:next w:val="800"/>
    <w:link w:val="1037"/>
    <w:uiPriority w:val="99"/>
    <w:pPr>
      <w:jc w:val="both"/>
      <w:spacing w:after="0" w:line="240" w:lineRule="auto"/>
    </w:pPr>
    <w:rPr>
      <w:rFonts w:ascii="Times New Roman" w:hAnsi="Times New Roman" w:eastAsia="Times New Roman" w:cs="Times New Roman"/>
      <w:szCs w:val="20"/>
    </w:rPr>
  </w:style>
  <w:style w:type="character" w:styleId="978" w:customStyle="1">
    <w:name w:val="Основной текст Знак"/>
    <w:basedOn w:val="810"/>
    <w:uiPriority w:val="99"/>
    <w:semiHidden/>
  </w:style>
  <w:style w:type="paragraph" w:styleId="979">
    <w:name w:val="Header"/>
    <w:basedOn w:val="800"/>
    <w:link w:val="980"/>
    <w:uiPriority w:val="99"/>
    <w:pPr>
      <w:ind w:firstLine="709"/>
      <w:jc w:val="center"/>
      <w:spacing w:before="120" w:after="24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b/>
      <w:caps/>
      <w:sz w:val="28"/>
      <w:szCs w:val="20"/>
    </w:rPr>
  </w:style>
  <w:style w:type="character" w:styleId="980" w:customStyle="1">
    <w:name w:val="Верхний колонтитул Знак"/>
    <w:basedOn w:val="810"/>
    <w:link w:val="979"/>
    <w:uiPriority w:val="99"/>
    <w:rPr>
      <w:rFonts w:ascii="Times New Roman" w:hAnsi="Times New Roman" w:eastAsia="Times New Roman" w:cs="Times New Roman"/>
      <w:b/>
      <w:caps/>
      <w:sz w:val="28"/>
      <w:szCs w:val="20"/>
    </w:rPr>
  </w:style>
  <w:style w:type="paragraph" w:styleId="981">
    <w:name w:val="Footer"/>
    <w:basedOn w:val="800"/>
    <w:link w:val="982"/>
    <w:uiPriority w:val="99"/>
    <w:pPr>
      <w:ind w:firstLine="709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6"/>
      <w:szCs w:val="20"/>
    </w:rPr>
  </w:style>
  <w:style w:type="character" w:styleId="982" w:customStyle="1">
    <w:name w:val="Нижний колонтитул Знак"/>
    <w:basedOn w:val="810"/>
    <w:link w:val="981"/>
    <w:uiPriority w:val="99"/>
    <w:rPr>
      <w:rFonts w:ascii="Times New Roman" w:hAnsi="Times New Roman" w:eastAsia="Times New Roman" w:cs="Times New Roman"/>
      <w:sz w:val="26"/>
      <w:szCs w:val="20"/>
    </w:rPr>
  </w:style>
  <w:style w:type="character" w:styleId="983">
    <w:name w:val="page number"/>
    <w:basedOn w:val="810"/>
  </w:style>
  <w:style w:type="paragraph" w:styleId="984">
    <w:name w:val="Caption"/>
    <w:basedOn w:val="800"/>
    <w:next w:val="800"/>
    <w:link w:val="830"/>
    <w:uiPriority w:val="35"/>
    <w:unhideWhenUsed/>
    <w:qFormat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985">
    <w:name w:val="Body Text 2"/>
    <w:basedOn w:val="800"/>
    <w:link w:val="986"/>
    <w:pPr>
      <w:ind w:right="5102"/>
      <w:jc w:val="center"/>
      <w:spacing w:before="120"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986" w:customStyle="1">
    <w:name w:val="Основной текст 2 Знак"/>
    <w:basedOn w:val="810"/>
    <w:link w:val="985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987" w:customStyle="1">
    <w:name w:val="Обращение"/>
    <w:basedOn w:val="800"/>
    <w:next w:val="800"/>
    <w:pPr>
      <w:jc w:val="center"/>
      <w:spacing w:before="240" w:after="120" w:line="240" w:lineRule="auto"/>
    </w:pPr>
    <w:rPr>
      <w:rFonts w:ascii="Times New Roman" w:hAnsi="Times New Roman" w:eastAsia="Times New Roman" w:cs="Times New Roman"/>
      <w:b/>
      <w:sz w:val="26"/>
      <w:szCs w:val="20"/>
      <w:lang w:eastAsia="ru-RU"/>
    </w:rPr>
  </w:style>
  <w:style w:type="paragraph" w:styleId="988" w:customStyle="1">
    <w:name w:val="Адресные реквизиты"/>
    <w:basedOn w:val="977"/>
    <w:next w:val="977"/>
    <w:pPr>
      <w:jc w:val="left"/>
    </w:pPr>
    <w:rPr>
      <w:sz w:val="16"/>
    </w:rPr>
  </w:style>
  <w:style w:type="paragraph" w:styleId="989" w:customStyle="1">
    <w:name w:val="Адресат"/>
    <w:basedOn w:val="800"/>
    <w:pPr>
      <w:spacing w:before="120" w:after="0" w:line="240" w:lineRule="auto"/>
    </w:pPr>
    <w:rPr>
      <w:rFonts w:ascii="Times New Roman" w:hAnsi="Times New Roman" w:eastAsia="Times New Roman" w:cs="Times New Roman"/>
      <w:b/>
      <w:sz w:val="26"/>
      <w:szCs w:val="20"/>
      <w:lang w:eastAsia="ru-RU"/>
    </w:rPr>
  </w:style>
  <w:style w:type="paragraph" w:styleId="990">
    <w:name w:val="Body Text 3"/>
    <w:basedOn w:val="800"/>
    <w:link w:val="991"/>
    <w:pPr>
      <w:spacing w:before="120" w:after="0" w:line="240" w:lineRule="auto"/>
      <w:tabs>
        <w:tab w:val="left" w:pos="7371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91" w:customStyle="1">
    <w:name w:val="Основной текст 3 Знак"/>
    <w:basedOn w:val="810"/>
    <w:link w:val="99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92">
    <w:name w:val="Body Text Indent 3"/>
    <w:basedOn w:val="800"/>
    <w:link w:val="993"/>
    <w:pPr>
      <w:ind w:left="283" w:firstLine="709"/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993" w:customStyle="1">
    <w:name w:val="Основной текст с отступом 3 Знак"/>
    <w:basedOn w:val="810"/>
    <w:link w:val="992"/>
    <w:rPr>
      <w:rFonts w:ascii="Times New Roman" w:hAnsi="Times New Roman" w:eastAsia="Times New Roman" w:cs="Times New Roman"/>
      <w:sz w:val="16"/>
      <w:szCs w:val="16"/>
    </w:rPr>
  </w:style>
  <w:style w:type="paragraph" w:styleId="994">
    <w:name w:val="Body Text Indent"/>
    <w:basedOn w:val="800"/>
    <w:link w:val="995"/>
    <w:uiPriority w:val="99"/>
    <w:pPr>
      <w:ind w:left="283" w:firstLine="709"/>
      <w:spacing w:after="120" w:line="240" w:lineRule="auto"/>
    </w:pPr>
    <w:rPr>
      <w:rFonts w:ascii="Times New Roman" w:hAnsi="Times New Roman" w:eastAsia="Times New Roman" w:cs="Times New Roman"/>
      <w:sz w:val="26"/>
      <w:szCs w:val="20"/>
    </w:rPr>
  </w:style>
  <w:style w:type="character" w:styleId="995" w:customStyle="1">
    <w:name w:val="Основной текст с отступом Знак"/>
    <w:basedOn w:val="810"/>
    <w:link w:val="994"/>
    <w:uiPriority w:val="99"/>
    <w:rPr>
      <w:rFonts w:ascii="Times New Roman" w:hAnsi="Times New Roman" w:eastAsia="Times New Roman" w:cs="Times New Roman"/>
      <w:sz w:val="26"/>
      <w:szCs w:val="20"/>
    </w:rPr>
  </w:style>
  <w:style w:type="paragraph" w:styleId="996">
    <w:name w:val="Balloon Text"/>
    <w:basedOn w:val="800"/>
    <w:link w:val="997"/>
    <w:uiPriority w:val="99"/>
    <w:pPr>
      <w:ind w:firstLine="709"/>
      <w:spacing w:after="0" w:line="240" w:lineRule="auto"/>
    </w:pPr>
    <w:rPr>
      <w:rFonts w:ascii="Tahoma" w:hAnsi="Tahoma" w:eastAsia="Times New Roman" w:cs="Times New Roman"/>
      <w:sz w:val="16"/>
      <w:szCs w:val="16"/>
    </w:rPr>
  </w:style>
  <w:style w:type="character" w:styleId="997" w:customStyle="1">
    <w:name w:val="Текст выноски Знак"/>
    <w:basedOn w:val="810"/>
    <w:link w:val="996"/>
    <w:uiPriority w:val="99"/>
    <w:rPr>
      <w:rFonts w:ascii="Tahoma" w:hAnsi="Tahoma" w:eastAsia="Times New Roman" w:cs="Times New Roman"/>
      <w:sz w:val="16"/>
      <w:szCs w:val="16"/>
    </w:rPr>
  </w:style>
  <w:style w:type="paragraph" w:styleId="998">
    <w:name w:val="Title"/>
    <w:basedOn w:val="800"/>
    <w:next w:val="800"/>
    <w:link w:val="999"/>
    <w:uiPriority w:val="10"/>
    <w:qFormat/>
    <w:pPr>
      <w:contextualSpacing/>
      <w:spacing w:after="120" w:line="240" w:lineRule="auto"/>
    </w:pPr>
    <w:rPr>
      <w:rFonts w:asciiTheme="majorHAnsi" w:hAnsiTheme="majorHAnsi" w:eastAsiaTheme="majorEastAsia" w:cstheme="majorBidi"/>
      <w:color w:val="1f497d" w:themeColor="text2"/>
      <w:spacing w:val="30"/>
      <w:sz w:val="72"/>
      <w:szCs w:val="52"/>
      <w14:ligatures w14:val="standard"/>
    </w:rPr>
  </w:style>
  <w:style w:type="character" w:styleId="999" w:customStyle="1">
    <w:name w:val="Название Знак"/>
    <w:basedOn w:val="810"/>
    <w:link w:val="998"/>
    <w:uiPriority w:val="10"/>
    <w:rPr>
      <w:rFonts w:asciiTheme="majorHAnsi" w:hAnsiTheme="majorHAnsi" w:eastAsiaTheme="majorEastAsia" w:cstheme="majorBidi"/>
      <w:color w:val="1f497d" w:themeColor="text2"/>
      <w:spacing w:val="30"/>
      <w:sz w:val="72"/>
      <w:szCs w:val="52"/>
      <w14:ligatures w14:val="standard"/>
    </w:rPr>
  </w:style>
  <w:style w:type="paragraph" w:styleId="1000" w:customStyle="1">
    <w:name w:val="Body Text 2.Основной текст 1.Нумерованный список !!.Надин стиль"/>
    <w:basedOn w:val="800"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001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2">
    <w:name w:val="footnote text"/>
    <w:basedOn w:val="800"/>
    <w:link w:val="1003"/>
    <w:uiPriority w:val="99"/>
    <w:pPr>
      <w:ind w:firstLine="720"/>
      <w:spacing w:after="0" w:line="36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3" w:customStyle="1">
    <w:name w:val="Текст сноски Знак"/>
    <w:basedOn w:val="810"/>
    <w:link w:val="100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4">
    <w:name w:val="footnote reference"/>
    <w:uiPriority w:val="99"/>
    <w:rPr>
      <w:vertAlign w:val="superscript"/>
    </w:rPr>
  </w:style>
  <w:style w:type="paragraph" w:styleId="1005">
    <w:name w:val="Body Text Indent 2"/>
    <w:basedOn w:val="800"/>
    <w:link w:val="1006"/>
    <w:pPr>
      <w:ind w:firstLine="709"/>
      <w:jc w:val="both"/>
      <w:spacing w:before="120"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1006" w:customStyle="1">
    <w:name w:val="Основной текст с отступом 2 Знак"/>
    <w:basedOn w:val="810"/>
    <w:link w:val="1005"/>
    <w:rPr>
      <w:rFonts w:ascii="Times New Roman" w:hAnsi="Times New Roman" w:eastAsia="Times New Roman" w:cs="Times New Roman"/>
      <w:sz w:val="24"/>
      <w:szCs w:val="20"/>
    </w:rPr>
  </w:style>
  <w:style w:type="paragraph" w:styleId="1007" w:customStyle="1">
    <w:name w:val="Единицы"/>
    <w:basedOn w:val="800"/>
    <w:pPr>
      <w:jc w:val="right"/>
      <w:keepNext/>
      <w:spacing w:before="20" w:after="60" w:line="24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1008">
    <w:name w:val="Message Header"/>
    <w:basedOn w:val="800"/>
    <w:link w:val="1009"/>
    <w:uiPriority w:val="99"/>
    <w:pPr>
      <w:spacing w:before="60" w:after="60" w:line="200" w:lineRule="exact"/>
      <w:widowControl w:val="off"/>
    </w:pPr>
    <w:rPr>
      <w:rFonts w:ascii="Arial" w:hAnsi="Arial" w:eastAsia="Times New Roman" w:cs="Times New Roman"/>
      <w:i/>
      <w:sz w:val="20"/>
      <w:szCs w:val="20"/>
    </w:rPr>
  </w:style>
  <w:style w:type="character" w:styleId="1009" w:customStyle="1">
    <w:name w:val="Шапка Знак"/>
    <w:basedOn w:val="810"/>
    <w:link w:val="1008"/>
    <w:uiPriority w:val="99"/>
    <w:rPr>
      <w:rFonts w:ascii="Arial" w:hAnsi="Arial" w:eastAsia="Times New Roman" w:cs="Times New Roman"/>
      <w:i/>
      <w:sz w:val="20"/>
      <w:szCs w:val="20"/>
    </w:rPr>
  </w:style>
  <w:style w:type="paragraph" w:styleId="1010" w:customStyle="1">
    <w:name w:val="Таблица"/>
    <w:basedOn w:val="1008"/>
    <w:pPr>
      <w:spacing w:before="0" w:after="0" w:line="240" w:lineRule="auto"/>
      <w:widowControl/>
    </w:pPr>
    <w:rPr>
      <w:i w:val="0"/>
    </w:rPr>
  </w:style>
  <w:style w:type="paragraph" w:styleId="1011" w:customStyle="1">
    <w:name w:val="Таблотст"/>
    <w:basedOn w:val="1010"/>
    <w:pPr>
      <w:ind w:left="85"/>
    </w:pPr>
  </w:style>
  <w:style w:type="paragraph" w:styleId="1012" w:customStyle="1">
    <w:name w:val="Основной текст с отступом.Основной текст 1"/>
    <w:basedOn w:val="800"/>
    <w:pPr>
      <w:ind w:firstLine="709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1013" w:customStyle="1">
    <w:name w:val="Основной текст с отступом.Основной текст 1.Нумерованный список !!.Надин стиль"/>
    <w:basedOn w:val="800"/>
    <w:pPr>
      <w:ind w:left="-993" w:firstLine="993"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14">
    <w:name w:val="Plain Text"/>
    <w:basedOn w:val="800"/>
    <w:link w:val="1015"/>
    <w:pPr>
      <w:spacing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character" w:styleId="1015" w:customStyle="1">
    <w:name w:val="Текст Знак"/>
    <w:basedOn w:val="810"/>
    <w:link w:val="1014"/>
    <w:rPr>
      <w:rFonts w:ascii="Courier New" w:hAnsi="Courier New" w:eastAsia="Times New Roman" w:cs="Times New Roman"/>
      <w:sz w:val="20"/>
      <w:szCs w:val="20"/>
    </w:rPr>
  </w:style>
  <w:style w:type="paragraph" w:styleId="1016" w:customStyle="1">
    <w:name w:val="H1"/>
    <w:basedOn w:val="800"/>
    <w:next w:val="800"/>
    <w:pPr>
      <w:keepNext/>
      <w:spacing w:before="100" w:after="100" w:line="240" w:lineRule="auto"/>
      <w:outlineLvl w:val="1"/>
    </w:pPr>
    <w:rPr>
      <w:rFonts w:ascii="Times New Roman" w:hAnsi="Times New Roman" w:eastAsia="Times New Roman" w:cs="Times New Roman"/>
      <w:b/>
      <w:sz w:val="48"/>
      <w:szCs w:val="20"/>
      <w:lang w:eastAsia="ru-RU"/>
    </w:rPr>
  </w:style>
  <w:style w:type="paragraph" w:styleId="1017" w:customStyle="1">
    <w:name w:val="text"/>
    <w:basedOn w:val="800"/>
    <w:pPr>
      <w:spacing w:after="0" w:line="240" w:lineRule="auto"/>
    </w:pPr>
    <w:rPr>
      <w:rFonts w:ascii="Arial Unicode MS" w:hAnsi="Arial Unicode MS" w:eastAsia="Arial Unicode MS" w:cs="MS Mincho"/>
      <w:sz w:val="19"/>
      <w:szCs w:val="19"/>
      <w:lang w:eastAsia="ru-RU"/>
    </w:rPr>
  </w:style>
  <w:style w:type="paragraph" w:styleId="1018" w:customStyle="1">
    <w:name w:val="ConsPlusNonformat"/>
    <w:pPr>
      <w:spacing w:after="0" w:line="240" w:lineRule="auto"/>
    </w:pPr>
    <w:rPr>
      <w:rFonts w:ascii="Courier New" w:hAnsi="Courier New" w:eastAsia="Times New Roman" w:cs="Arial Unicode MS"/>
      <w:sz w:val="20"/>
      <w:szCs w:val="20"/>
      <w:lang w:eastAsia="ru-RU"/>
    </w:rPr>
  </w:style>
  <w:style w:type="paragraph" w:styleId="1019" w:customStyle="1">
    <w:name w:val="ConsPlusNormal"/>
    <w:link w:val="1038"/>
    <w:qFormat/>
    <w:pPr>
      <w:ind w:firstLine="720"/>
      <w:spacing w:after="0" w:line="240" w:lineRule="auto"/>
    </w:pPr>
    <w:rPr>
      <w:rFonts w:ascii="Arial" w:hAnsi="Arial" w:eastAsia="Times New Roman" w:cs="Times New Roman"/>
      <w:sz w:val="26"/>
      <w:szCs w:val="20"/>
      <w:lang w:eastAsia="ru-RU"/>
    </w:rPr>
  </w:style>
  <w:style w:type="paragraph" w:styleId="1020" w:customStyle="1">
    <w:name w:val="Обычный (Web)"/>
    <w:basedOn w:val="800"/>
    <w:pPr>
      <w:spacing w:before="100" w:after="100" w:line="240" w:lineRule="auto"/>
    </w:pPr>
    <w:rPr>
      <w:rFonts w:ascii="Times New Roman" w:hAnsi="Times New Roman" w:eastAsia="Arial Unicode MS" w:cs="Times New Roman"/>
      <w:sz w:val="23"/>
      <w:szCs w:val="20"/>
      <w:lang w:eastAsia="ru-RU"/>
    </w:rPr>
  </w:style>
  <w:style w:type="paragraph" w:styleId="1021" w:customStyle="1">
    <w:name w:val="Обычный (Web)1"/>
    <w:basedOn w:val="800"/>
    <w:pPr>
      <w:spacing w:before="100" w:after="10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character" w:styleId="1022">
    <w:name w:val="Strong"/>
    <w:basedOn w:val="810"/>
    <w:uiPriority w:val="22"/>
    <w:rPr>
      <w:b/>
      <w:bCs/>
      <w:color w:val="265898" w:themeColor="text2" w:themeTint="E6"/>
    </w:rPr>
  </w:style>
  <w:style w:type="paragraph" w:styleId="1023" w:customStyle="1">
    <w:name w:val="Текст док"/>
    <w:basedOn w:val="800"/>
    <w:pPr>
      <w:ind w:firstLine="60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024" w:customStyle="1">
    <w:name w:val="Iau?iue1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025">
    <w:name w:val="Table Grid"/>
    <w:basedOn w:val="811"/>
    <w:uiPriority w:val="59"/>
    <w:pPr>
      <w:ind w:firstLine="720"/>
      <w:spacing w:after="0" w:line="36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26" w:customStyle="1">
    <w:name w:val="1 Знак"/>
    <w:basedOn w:val="80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1027" w:customStyle="1">
    <w:name w:val="3372873BB58A4DED866D2BE34882C06C"/>
    <w:rPr>
      <w:rFonts w:ascii="Calibri" w:hAnsi="Calibri" w:eastAsia="Times New Roman" w:cs="Times New Roman"/>
      <w:lang w:eastAsia="ru-RU"/>
    </w:rPr>
  </w:style>
  <w:style w:type="paragraph" w:styleId="1028">
    <w:name w:val="List Paragraph"/>
    <w:basedOn w:val="800"/>
    <w:link w:val="1073"/>
    <w:uiPriority w:val="34"/>
    <w:qFormat/>
    <w:pPr>
      <w:contextualSpacing/>
      <w:ind w:left="720" w:hanging="288"/>
      <w:spacing w:line="240" w:lineRule="auto"/>
    </w:pPr>
    <w:rPr>
      <w:color w:val="1f497d" w:themeColor="text2"/>
    </w:rPr>
  </w:style>
  <w:style w:type="paragraph" w:styleId="1029">
    <w:name w:val="Normal (Web)"/>
    <w:basedOn w:val="800"/>
    <w:link w:val="1030"/>
    <w:uiPriority w:val="99"/>
    <w:unhideWhenUsed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030" w:customStyle="1">
    <w:name w:val="Обычный (веб) Знак"/>
    <w:link w:val="1029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1031" w:customStyle="1">
    <w:name w:val="dash041e_0431_044b_0447_043d_044b_0439"/>
    <w:basedOn w:val="8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2" w:customStyle="1">
    <w:name w:val="apple-converted-space"/>
  </w:style>
  <w:style w:type="paragraph" w:styleId="1033">
    <w:name w:val="No Spacing"/>
    <w:link w:val="1034"/>
    <w:uiPriority w:val="1"/>
    <w:qFormat/>
    <w:pPr>
      <w:spacing w:after="0" w:line="240" w:lineRule="auto"/>
    </w:pPr>
  </w:style>
  <w:style w:type="character" w:styleId="1034" w:customStyle="1">
    <w:name w:val="Без интервала Знак"/>
    <w:basedOn w:val="810"/>
    <w:link w:val="1033"/>
    <w:uiPriority w:val="1"/>
  </w:style>
  <w:style w:type="character" w:styleId="1035">
    <w:name w:val="Hyperlink"/>
    <w:uiPriority w:val="99"/>
    <w:rPr>
      <w:color w:val="0000ff"/>
      <w:u w:val="single"/>
    </w:rPr>
  </w:style>
  <w:style w:type="paragraph" w:styleId="1036" w:customStyle="1">
    <w:name w:val="Default"/>
    <w:pPr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character" w:styleId="1037" w:customStyle="1">
    <w:name w:val="Основной текст Знак1"/>
    <w:link w:val="977"/>
    <w:uiPriority w:val="99"/>
    <w:rPr>
      <w:rFonts w:ascii="Times New Roman" w:hAnsi="Times New Roman" w:eastAsia="Times New Roman" w:cs="Times New Roman"/>
      <w:szCs w:val="20"/>
    </w:rPr>
  </w:style>
  <w:style w:type="character" w:styleId="1038" w:customStyle="1">
    <w:name w:val="ConsPlusNormal Знак"/>
    <w:link w:val="1019"/>
    <w:rPr>
      <w:rFonts w:ascii="Arial" w:hAnsi="Arial" w:eastAsia="Times New Roman" w:cs="Times New Roman"/>
      <w:sz w:val="26"/>
      <w:szCs w:val="20"/>
      <w:lang w:eastAsia="ru-RU"/>
    </w:rPr>
  </w:style>
  <w:style w:type="paragraph" w:styleId="1039">
    <w:name w:val="Document Map"/>
    <w:basedOn w:val="800"/>
    <w:link w:val="1040"/>
    <w:pPr>
      <w:ind w:firstLine="709"/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1040" w:customStyle="1">
    <w:name w:val="Схема документа Знак"/>
    <w:basedOn w:val="810"/>
    <w:link w:val="1039"/>
    <w:rPr>
      <w:rFonts w:ascii="Tahoma" w:hAnsi="Tahoma" w:eastAsia="Times New Roman" w:cs="Tahoma"/>
      <w:sz w:val="16"/>
      <w:szCs w:val="16"/>
      <w:lang w:eastAsia="ru-RU"/>
    </w:rPr>
  </w:style>
  <w:style w:type="table" w:styleId="1041" w:customStyle="1">
    <w:name w:val="Сетка таблицы1"/>
    <w:basedOn w:val="811"/>
    <w:next w:val="1025"/>
    <w:uiPriority w:val="59"/>
    <w:pPr>
      <w:ind w:firstLine="720"/>
      <w:spacing w:after="0" w:line="36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42" w:customStyle="1">
    <w:name w:val="Исполнитель"/>
    <w:basedOn w:val="800"/>
    <w:qFormat/>
    <w:pPr>
      <w:ind w:firstLine="709"/>
      <w:jc w:val="both"/>
      <w:spacing w:after="0" w:line="240" w:lineRule="auto"/>
      <w:tabs>
        <w:tab w:val="left" w:pos="993" w:leader="none"/>
      </w:tabs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character" w:styleId="1043">
    <w:name w:val="annotation reference"/>
    <w:basedOn w:val="810"/>
    <w:uiPriority w:val="99"/>
    <w:semiHidden/>
    <w:unhideWhenUsed/>
    <w:rPr>
      <w:sz w:val="16"/>
      <w:szCs w:val="16"/>
    </w:rPr>
  </w:style>
  <w:style w:type="paragraph" w:styleId="1044">
    <w:name w:val="annotation text"/>
    <w:basedOn w:val="800"/>
    <w:link w:val="104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45" w:customStyle="1">
    <w:name w:val="Текст примечания Знак"/>
    <w:basedOn w:val="810"/>
    <w:link w:val="1044"/>
    <w:uiPriority w:val="99"/>
    <w:semiHidden/>
    <w:rPr>
      <w:sz w:val="20"/>
      <w:szCs w:val="20"/>
    </w:rPr>
  </w:style>
  <w:style w:type="paragraph" w:styleId="1046">
    <w:name w:val="annotation subject"/>
    <w:basedOn w:val="1044"/>
    <w:next w:val="1044"/>
    <w:link w:val="1047"/>
    <w:uiPriority w:val="99"/>
    <w:semiHidden/>
    <w:unhideWhenUsed/>
    <w:rPr>
      <w:b/>
      <w:bCs/>
    </w:rPr>
  </w:style>
  <w:style w:type="character" w:styleId="1047" w:customStyle="1">
    <w:name w:val="Тема примечания Знак"/>
    <w:basedOn w:val="1045"/>
    <w:link w:val="1046"/>
    <w:uiPriority w:val="99"/>
    <w:semiHidden/>
    <w:rPr>
      <w:b/>
      <w:bCs/>
      <w:sz w:val="20"/>
      <w:szCs w:val="20"/>
    </w:rPr>
  </w:style>
  <w:style w:type="paragraph" w:styleId="1048">
    <w:name w:val="Revision"/>
    <w:hidden/>
    <w:uiPriority w:val="99"/>
    <w:semiHidden/>
    <w:pPr>
      <w:spacing w:after="0" w:line="240" w:lineRule="auto"/>
    </w:pPr>
  </w:style>
  <w:style w:type="paragraph" w:styleId="1049">
    <w:name w:val="toc 1"/>
    <w:basedOn w:val="800"/>
    <w:next w:val="800"/>
    <w:uiPriority w:val="39"/>
    <w:unhideWhenUsed/>
    <w:pPr>
      <w:spacing w:after="100"/>
    </w:pPr>
  </w:style>
  <w:style w:type="paragraph" w:styleId="1050">
    <w:name w:val="toc 2"/>
    <w:basedOn w:val="800"/>
    <w:next w:val="800"/>
    <w:uiPriority w:val="39"/>
    <w:unhideWhenUsed/>
    <w:pPr>
      <w:ind w:left="220"/>
      <w:spacing w:after="100"/>
    </w:pPr>
  </w:style>
  <w:style w:type="paragraph" w:styleId="1051">
    <w:name w:val="Subtitle"/>
    <w:basedOn w:val="800"/>
    <w:next w:val="800"/>
    <w:link w:val="1052"/>
    <w:uiPriority w:val="11"/>
    <w:qFormat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1052" w:customStyle="1">
    <w:name w:val="Подзаголовок Знак"/>
    <w:basedOn w:val="810"/>
    <w:link w:val="1051"/>
    <w:uiPriority w:val="11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1053">
    <w:name w:val="Emphasis"/>
    <w:basedOn w:val="810"/>
    <w:uiPriority w:val="20"/>
    <w:rPr>
      <w:b w:val="0"/>
      <w:i/>
      <w:iCs/>
      <w:color w:val="1f497d" w:themeColor="text2"/>
    </w:rPr>
  </w:style>
  <w:style w:type="paragraph" w:styleId="1054">
    <w:name w:val="Quote"/>
    <w:basedOn w:val="800"/>
    <w:next w:val="800"/>
    <w:link w:val="1055"/>
    <w:uiPriority w:val="29"/>
    <w:qFormat/>
    <w:pPr>
      <w:spacing w:after="0" w:line="360" w:lineRule="auto"/>
      <w:pBdr>
        <w:left w:val="single" w:color="4F81BD" w:themeColor="accent1" w:sz="48" w:space="13"/>
      </w:pBdr>
    </w:pPr>
    <w:rPr>
      <w:rFonts w:asciiTheme="majorHAnsi" w:hAnsiTheme="majorHAnsi" w:eastAsiaTheme="minorEastAsia"/>
      <w:b/>
      <w:i/>
      <w:iCs/>
      <w:color w:val="4f81bd" w:themeColor="accent1"/>
      <w:sz w:val="24"/>
      <w:lang w:bidi="hi-IN"/>
    </w:rPr>
  </w:style>
  <w:style w:type="character" w:styleId="1055" w:customStyle="1">
    <w:name w:val="Цитата 2 Знак"/>
    <w:basedOn w:val="810"/>
    <w:link w:val="1054"/>
    <w:uiPriority w:val="29"/>
    <w:rPr>
      <w:rFonts w:asciiTheme="majorHAnsi" w:hAnsiTheme="majorHAnsi" w:eastAsiaTheme="minorEastAsia"/>
      <w:b/>
      <w:i/>
      <w:iCs/>
      <w:color w:val="4f81bd" w:themeColor="accent1"/>
      <w:sz w:val="24"/>
      <w:lang w:bidi="hi-IN"/>
    </w:rPr>
  </w:style>
  <w:style w:type="paragraph" w:styleId="1056">
    <w:name w:val="Intense Quote"/>
    <w:basedOn w:val="800"/>
    <w:next w:val="800"/>
    <w:link w:val="1057"/>
    <w:uiPriority w:val="30"/>
    <w:qFormat/>
    <w:pPr>
      <w:spacing w:before="240" w:after="120" w:line="300" w:lineRule="auto"/>
      <w:pBdr>
        <w:left w:val="single" w:color="C0504D" w:themeColor="accent2" w:sz="48" w:space="13"/>
      </w:pBdr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</w:rPr>
  </w:style>
  <w:style w:type="character" w:styleId="1057" w:customStyle="1">
    <w:name w:val="Выделенная цитата Знак"/>
    <w:basedOn w:val="810"/>
    <w:link w:val="1056"/>
    <w:uiPriority w:val="30"/>
    <w:rPr>
      <w:rFonts w:eastAsiaTheme="minorEastAsia"/>
      <w:b/>
      <w:bCs/>
      <w:i/>
      <w:iCs/>
      <w:color w:val="c0504d" w:themeColor="accent2"/>
      <w:sz w:val="26"/>
      <w:lang w:bidi="hi-IN"/>
      <w14:ligatures w14:val="standard"/>
    </w:rPr>
  </w:style>
  <w:style w:type="character" w:styleId="1058">
    <w:name w:val="Subtle Emphasis"/>
    <w:basedOn w:val="810"/>
    <w:uiPriority w:val="19"/>
    <w:rPr>
      <w:i/>
      <w:iCs/>
      <w:color w:val="000000"/>
    </w:rPr>
  </w:style>
  <w:style w:type="character" w:styleId="1059">
    <w:name w:val="Intense Emphasis"/>
    <w:basedOn w:val="810"/>
    <w:uiPriority w:val="21"/>
    <w:rPr>
      <w:b/>
      <w:bCs/>
      <w:i/>
      <w:iCs/>
      <w:color w:val="1f497d" w:themeColor="text2"/>
    </w:rPr>
  </w:style>
  <w:style w:type="character" w:styleId="1060">
    <w:name w:val="Subtle Reference"/>
    <w:basedOn w:val="810"/>
    <w:uiPriority w:val="31"/>
    <w:rPr>
      <w:smallCaps/>
      <w:color w:val="000000"/>
      <w:u w:val="single"/>
    </w:rPr>
  </w:style>
  <w:style w:type="character" w:styleId="1061">
    <w:name w:val="Intense Reference"/>
    <w:basedOn w:val="810"/>
    <w:uiPriority w:val="32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1062">
    <w:name w:val="Book Title"/>
    <w:basedOn w:val="810"/>
    <w:uiPriority w:val="33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1063">
    <w:name w:val="TOC Heading"/>
    <w:basedOn w:val="801"/>
    <w:next w:val="800"/>
    <w:uiPriority w:val="39"/>
    <w:unhideWhenUsed/>
    <w:pPr>
      <w:spacing w:before="480" w:line="264" w:lineRule="auto"/>
      <w:outlineLvl w:val="9"/>
    </w:pPr>
    <w:rPr>
      <w:b/>
    </w:rPr>
  </w:style>
  <w:style w:type="paragraph" w:styleId="1064">
    <w:name w:val="toc 3"/>
    <w:basedOn w:val="800"/>
    <w:next w:val="800"/>
    <w:uiPriority w:val="39"/>
    <w:semiHidden/>
    <w:unhideWhenUsed/>
    <w:pPr>
      <w:ind w:left="440"/>
      <w:spacing w:after="100" w:line="276" w:lineRule="auto"/>
    </w:pPr>
    <w:rPr>
      <w:rFonts w:eastAsiaTheme="minorEastAsia"/>
      <w:lang w:eastAsia="ru-RU"/>
    </w:rPr>
  </w:style>
  <w:style w:type="character" w:styleId="1065" w:customStyle="1">
    <w:name w:val="docdata"/>
    <w:basedOn w:val="810"/>
  </w:style>
  <w:style w:type="character" w:styleId="1066" w:customStyle="1">
    <w:name w:val="markedcontent"/>
    <w:basedOn w:val="810"/>
  </w:style>
  <w:style w:type="character" w:styleId="1067" w:customStyle="1">
    <w:name w:val="spelle"/>
    <w:basedOn w:val="810"/>
  </w:style>
  <w:style w:type="table" w:styleId="1068" w:customStyle="1">
    <w:name w:val="Сетка таблицы2"/>
    <w:basedOn w:val="811"/>
    <w:next w:val="1025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69" w:customStyle="1">
    <w:name w:val="box-paragraph__text"/>
    <w:basedOn w:val="8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0" w:customStyle="1">
    <w:name w:val="paragraph_paragraph__nycys"/>
    <w:basedOn w:val="8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71" w:customStyle="1">
    <w:name w:val="ds_ext_text-tov6w"/>
    <w:basedOn w:val="810"/>
  </w:style>
  <w:style w:type="character" w:styleId="1072" w:customStyle="1">
    <w:name w:val="normaltextrun"/>
    <w:rPr>
      <w:rFonts w:cs="Times New Roman"/>
    </w:rPr>
  </w:style>
  <w:style w:type="character" w:styleId="1073" w:customStyle="1">
    <w:name w:val="Абзац списка Знак"/>
    <w:link w:val="1028"/>
    <w:uiPriority w:val="34"/>
    <w:rPr>
      <w:color w:val="1f497d" w:themeColor="text2"/>
    </w:rPr>
  </w:style>
  <w:style w:type="character" w:styleId="1074" w:customStyle="1">
    <w:name w:val="Основной текст (2)_"/>
    <w:basedOn w:val="810"/>
    <w:link w:val="1075"/>
    <w:rPr>
      <w:rFonts w:ascii="Arial Narrow" w:hAnsi="Arial Narrow" w:eastAsia="Arial Narrow" w:cs="Arial Narrow"/>
      <w:shd w:val="clear" w:color="auto" w:fill="ffffff"/>
    </w:rPr>
  </w:style>
  <w:style w:type="paragraph" w:styleId="1075" w:customStyle="1">
    <w:name w:val="Основной текст (2)"/>
    <w:basedOn w:val="800"/>
    <w:link w:val="1074"/>
    <w:pPr>
      <w:jc w:val="both"/>
      <w:spacing w:after="240" w:line="266" w:lineRule="exact"/>
      <w:shd w:val="clear" w:color="auto" w:fill="ffffff"/>
      <w:widowControl w:val="off"/>
    </w:pPr>
    <w:rPr>
      <w:rFonts w:ascii="Arial Narrow" w:hAnsi="Arial Narrow" w:eastAsia="Arial Narrow" w:cs="Arial Narrow"/>
    </w:rPr>
  </w:style>
  <w:style w:type="paragraph" w:styleId="1076" w:customStyle="1">
    <w:name w:val="Стиль1"/>
    <w:basedOn w:val="800"/>
    <w:link w:val="1077"/>
    <w:qFormat/>
    <w:pPr>
      <w:ind w:firstLine="567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6"/>
    </w:rPr>
  </w:style>
  <w:style w:type="character" w:styleId="1077" w:customStyle="1">
    <w:name w:val="Стиль1 Знак"/>
    <w:basedOn w:val="810"/>
    <w:link w:val="1076"/>
    <w:rPr>
      <w:rFonts w:ascii="Times New Roman" w:hAnsi="Times New Roman" w:eastAsia="Times New Roman" w:cs="Times New Roman"/>
      <w:sz w:val="26"/>
      <w:szCs w:val="26"/>
    </w:rPr>
  </w:style>
  <w:style w:type="paragraph" w:styleId="1078" w:customStyle="1">
    <w:name w:val="a0"/>
    <w:basedOn w:val="800"/>
    <w:uiPriority w:val="99"/>
    <w:semiHidden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1079" w:customStyle="1">
    <w:name w:val="Основной текст 24"/>
    <w:basedOn w:val="800"/>
    <w:qFormat/>
    <w:pPr>
      <w:ind w:firstLine="720"/>
      <w:jc w:val="both"/>
      <w:spacing w:after="60" w:line="240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80" w:customStyle="1">
    <w:name w:val="Знак311"/>
    <w:basedOn w:val="800"/>
    <w:next w:val="1002"/>
    <w:uiPriority w:val="99"/>
    <w:unhideWhenUsed/>
    <w:qFormat/>
    <w:pPr>
      <w:spacing w:after="0" w:line="240" w:lineRule="auto"/>
    </w:pPr>
    <w:rPr>
      <w:rFonts w:ascii="PT Astra Serif" w:hAnsi="PT Astra Serif" w:cs="Times New Roman"/>
      <w:sz w:val="20"/>
      <w:szCs w:val="20"/>
    </w:rPr>
  </w:style>
  <w:style w:type="paragraph" w:styleId="1081" w:customStyle="1">
    <w:name w:val="Игорь"/>
    <w:uiPriority w:val="99"/>
    <w:pPr>
      <w:ind w:firstLine="709"/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80"/>
      <w:sz w:val="28"/>
      <w:szCs w:val="20"/>
      <w:lang w:eastAsia="ru-RU"/>
    </w:rPr>
  </w:style>
  <w:style w:type="paragraph" w:styleId="1082" w:customStyle="1">
    <w:name w:val="DStyle_paragraph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Liberation Serif" w:hAnsi="Liberation Serif" w:eastAsia="Source Han Sans CN Regular" w:cs="Lohit Devanagari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hart" Target="charts/chart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0070C0"/>
                </a:solidFill>
              </a:defRPr>
            </a:pPr>
            <a:r>
              <a:rPr lang="ru-RU" sz="1200">
                <a:solidFill>
                  <a:srgbClr val="0070C0"/>
                </a:solidFill>
              </a:rPr>
              <a:t>Рис. 14 Структура производства продукции растениеводства за 2024 год,%</a:t>
            </a:r>
            <a:endParaRPr lang="ru-RU"/>
          </a:p>
        </c:rich>
      </c:tx>
      <c:layout>
        <c:manualLayout>
          <c:xMode val="edge"/>
          <c:yMode val="edge"/>
          <c:x val="0.143880"/>
          <c:y val="0.03441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12310"/>
          <c:y val="0.236700"/>
          <c:w val="0.530900"/>
          <c:h val="0.600750"/>
        </c:manualLayout>
      </c:layout>
      <c:pieChart>
        <c:varyColors val="1"/>
        <c:ser>
          <c:idx val="0"/>
          <c:order val="0"/>
          <c:explosion val="25"/>
          <c:dPt>
            <c:idx val="0"/>
            <c:bubble3D val="0"/>
            <c:spPr bwMode="auto">
              <a:prstGeom prst="rect">
                <a:avLst/>
              </a:prstGeom>
              <a:solidFill>
                <a:srgbClr val="96C8BE"/>
              </a:solidFill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rgbClr val="91C6F7"/>
              </a:solidFill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rgbClr val="A5A5A5"/>
              </a:solidFill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rgbClr val="326E8C"/>
              </a:solidFill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rgbClr val="8CC850"/>
              </a:solidFill>
            </c:spPr>
          </c:dPt>
          <c:dPt>
            <c:idx val="5"/>
            <c:bubble3D val="0"/>
            <c:spPr bwMode="auto">
              <a:prstGeom prst="rect">
                <a:avLst/>
              </a:prstGeom>
              <a:solidFill>
                <a:srgbClr val="006600"/>
              </a:solidFill>
            </c:spPr>
          </c:dPt>
          <c:dPt>
            <c:idx val="6"/>
            <c:bubble3D val="0"/>
            <c:spPr bwMode="auto">
              <a:prstGeom prst="rect">
                <a:avLst/>
              </a:prstGeom>
              <a:solidFill>
                <a:srgbClr val="0070C0"/>
              </a:solidFill>
            </c:spPr>
          </c:dPt>
          <c:dLbls>
            <c:numFmt formatCode="0.0%" sourceLinked="0"/>
            <c:showBubbleSize val="0"/>
            <c:showCatName val="0"/>
            <c:showLeaderLines val="1"/>
            <c:showLegendKey val="0"/>
            <c:showPercent val="1"/>
            <c:showSerName val="0"/>
            <c:showVal val="0"/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</c:dLbls>
          <c:cat>
            <c:strRef>
              <c:f>'блины-2022'!$A$21:$A$27</c:f>
              <c:strCache>
                <c:ptCount val="7"/>
                <c:pt idx="0">
                  <c:v>Картофель</c:v>
                </c:pt>
                <c:pt idx="1">
                  <c:v>Овощи</c:v>
                </c:pt>
                <c:pt idx="2">
                  <c:v xml:space="preserve">Зерновые и зернобобовые</c:v>
                </c:pt>
                <c:pt idx="3">
                  <c:v xml:space="preserve">Солома и кормовые культуры</c:v>
                </c:pt>
                <c:pt idx="4">
                  <c:v xml:space="preserve">Фрукты и ягоды</c:v>
                </c:pt>
                <c:pt idx="5">
                  <c:v xml:space="preserve">Семена и плоды масличных</c:v>
                </c:pt>
                <c:pt idx="6">
                  <c:v>Прочие</c:v>
                </c:pt>
              </c:strCache>
            </c:strRef>
          </c:cat>
          <c:val>
            <c:numRef>
              <c:f>'блины-2022'!$B$21:$B$27</c:f>
              <c:numCache>
                <c:formatCode>#,##0.0</c:formatCode>
                <c:ptCount val="7"/>
                <c:pt idx="0">
                  <c:v>20.4</c:v>
                </c:pt>
                <c:pt idx="1">
                  <c:v>22.3</c:v>
                </c:pt>
                <c:pt idx="2">
                  <c:v>32.1</c:v>
                </c:pt>
                <c:pt idx="3">
                  <c:v>9</c:v>
                </c:pt>
                <c:pt idx="4">
                  <c:v>6.7</c:v>
                </c:pt>
                <c:pt idx="5">
                  <c:v>8.2</c:v>
                </c:pt>
                <c:pt idx="6">
                  <c:v>1.4</c:v>
                </c:pt>
              </c:numCache>
            </c:numRef>
          </c:val>
        </c:ser>
        <c:dLbls>
          <c:showBubbleSize val="0"/>
          <c:showCatName val="0"/>
          <c:showLeaderLines val="1"/>
          <c:showLegendKey val="0"/>
          <c:showPercent val="0"/>
          <c:showSerName val="0"/>
          <c:showVal val="0"/>
        </c:dLbls>
        <c:firstSliceAng val="0"/>
      </c:pieChart>
    </c:plotArea>
    <c:legend>
      <c:legendPos val="r"/>
      <c:layout>
        <c:manualLayout>
          <c:xMode val="edge"/>
          <c:yMode val="edge"/>
          <c:x val="0.047110"/>
          <c:y val="0.174710"/>
          <c:w val="0.338150"/>
          <c:h val="0.805100"/>
        </c:manualLayout>
      </c:layout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ln>
      <a:noFill/>
    </a:ln>
  </c:spPr>
  <c:txPr>
    <a:bodyPr/>
    <a:lstStyle/>
    <a:p>
      <a:pPr>
        <a:defRPr sz="1200">
          <a:latin typeface="PT Astra Serif"/>
          <a:ea typeface="PT Astra Serif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8E34-6708-4694-9965-2088C50E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Шереметьева Наталья Владимировна</dc:creator>
  <cp:lastModifiedBy>andreevava@ato.gov70.ru</cp:lastModifiedBy>
  <cp:revision>40</cp:revision>
  <dcterms:created xsi:type="dcterms:W3CDTF">2026-07-31T01:51:00Z</dcterms:created>
  <dcterms:modified xsi:type="dcterms:W3CDTF">2026-08-17T10:33:32Z</dcterms:modified>
</cp:coreProperties>
</file>